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F67" w:rsidRDefault="004C6E2E" w:rsidP="00A80F67">
      <w:pPr>
        <w:ind w:left="-567"/>
        <w:rPr>
          <w:b/>
          <w:color w:val="4F81BD" w:themeColor="accent1"/>
          <w:sz w:val="72"/>
        </w:rPr>
      </w:pPr>
      <w:r>
        <w:rPr>
          <w:b/>
          <w:noProof/>
          <w:lang w:eastAsia="en-GB"/>
        </w:rPr>
        <w:drawing>
          <wp:anchor distT="0" distB="0" distL="114300" distR="114300" simplePos="0" relativeHeight="251666432" behindDoc="0" locked="0" layoutInCell="1" allowOverlap="1">
            <wp:simplePos x="0" y="0"/>
            <wp:positionH relativeFrom="column">
              <wp:posOffset>-824230</wp:posOffset>
            </wp:positionH>
            <wp:positionV relativeFrom="paragraph">
              <wp:posOffset>-594360</wp:posOffset>
            </wp:positionV>
            <wp:extent cx="7263130" cy="1198880"/>
            <wp:effectExtent l="19050" t="0" r="0" b="0"/>
            <wp:wrapThrough wrapText="bothSides">
              <wp:wrapPolygon edited="0">
                <wp:start x="-57" y="0"/>
                <wp:lineTo x="-57" y="21280"/>
                <wp:lineTo x="21585" y="21280"/>
                <wp:lineTo x="21585" y="0"/>
                <wp:lineTo x="-5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63130" cy="1198880"/>
                    </a:xfrm>
                    <a:prstGeom prst="rect">
                      <a:avLst/>
                    </a:prstGeom>
                    <a:noFill/>
                    <a:ln w="9525">
                      <a:noFill/>
                      <a:miter lim="800000"/>
                      <a:headEnd/>
                      <a:tailEnd/>
                    </a:ln>
                  </pic:spPr>
                </pic:pic>
              </a:graphicData>
            </a:graphic>
          </wp:anchor>
        </w:drawing>
      </w:r>
    </w:p>
    <w:p w:rsidR="00A80F67" w:rsidRDefault="00A80F67" w:rsidP="00A80F67">
      <w:pPr>
        <w:ind w:left="-567"/>
        <w:rPr>
          <w:b/>
          <w:color w:val="4F81BD" w:themeColor="accent1"/>
          <w:sz w:val="72"/>
        </w:rPr>
      </w:pPr>
    </w:p>
    <w:p w:rsidR="00A80F67" w:rsidRDefault="00A80F67" w:rsidP="00A80F67">
      <w:pPr>
        <w:ind w:left="-567"/>
        <w:rPr>
          <w:b/>
          <w:color w:val="4F81BD" w:themeColor="accent1"/>
          <w:sz w:val="72"/>
        </w:rPr>
      </w:pPr>
    </w:p>
    <w:p w:rsidR="00A80F67" w:rsidRDefault="00A80F67" w:rsidP="00A80F67">
      <w:pPr>
        <w:ind w:left="-567"/>
        <w:rPr>
          <w:b/>
          <w:color w:val="4F81BD" w:themeColor="accent1"/>
          <w:sz w:val="72"/>
        </w:rPr>
      </w:pPr>
    </w:p>
    <w:p w:rsidR="00A80F67" w:rsidRPr="00EE607E" w:rsidRDefault="002B61B5" w:rsidP="00EE607E">
      <w:pPr>
        <w:pBdr>
          <w:top w:val="single" w:sz="8" w:space="1" w:color="1F497D" w:themeColor="text2"/>
          <w:bottom w:val="single" w:sz="8" w:space="1" w:color="1F497D" w:themeColor="text2"/>
        </w:pBdr>
        <w:ind w:left="-567" w:right="284"/>
        <w:sectPr w:rsidR="00A80F67" w:rsidRPr="00EE607E" w:rsidSect="00396AAD">
          <w:footerReference w:type="default" r:id="rId9"/>
          <w:pgSz w:w="11906" w:h="16838"/>
          <w:pgMar w:top="1440" w:right="1440" w:bottom="1440" w:left="1440" w:header="708" w:footer="708" w:gutter="0"/>
          <w:cols w:space="708"/>
          <w:titlePg/>
          <w:docGrid w:linePitch="360"/>
        </w:sectPr>
      </w:pPr>
      <w:r>
        <w:rPr>
          <w:b/>
          <w:color w:val="4F81BD" w:themeColor="accent1"/>
          <w:sz w:val="72"/>
        </w:rPr>
        <w:t>Early Intervention</w:t>
      </w:r>
      <w:r w:rsidR="00C72180">
        <w:rPr>
          <w:b/>
          <w:color w:val="4F81BD" w:themeColor="accent1"/>
          <w:sz w:val="72"/>
        </w:rPr>
        <w:t xml:space="preserve"> and Prudent Health</w:t>
      </w:r>
      <w:r w:rsidR="00A6582D">
        <w:rPr>
          <w:b/>
          <w:color w:val="4F81BD" w:themeColor="accent1"/>
          <w:sz w:val="72"/>
        </w:rPr>
        <w:t xml:space="preserve"> </w:t>
      </w:r>
      <w:r w:rsidR="00C72180">
        <w:rPr>
          <w:b/>
          <w:color w:val="4F81BD" w:themeColor="accent1"/>
          <w:sz w:val="72"/>
        </w:rPr>
        <w:t>Care</w:t>
      </w:r>
    </w:p>
    <w:p w:rsidR="00A80F67" w:rsidRDefault="00A80F67" w:rsidP="00A80F67">
      <w:r>
        <w:lastRenderedPageBreak/>
        <w:br w:type="page"/>
      </w:r>
    </w:p>
    <w:p w:rsidR="00A80F67" w:rsidRDefault="00A80F67" w:rsidP="00A80F67">
      <w:pPr>
        <w:spacing w:before="60" w:after="60"/>
        <w:ind w:left="-567"/>
        <w:rPr>
          <w:color w:val="4F81BD" w:themeColor="accent1"/>
          <w:sz w:val="28"/>
        </w:rPr>
        <w:sectPr w:rsidR="00A80F67" w:rsidSect="00A80F67">
          <w:type w:val="continuous"/>
          <w:pgSz w:w="11906" w:h="16838"/>
          <w:pgMar w:top="1440" w:right="1440" w:bottom="1440" w:left="1440" w:header="708" w:footer="708" w:gutter="0"/>
          <w:cols w:num="2" w:space="708"/>
          <w:docGrid w:linePitch="360"/>
        </w:sectPr>
      </w:pPr>
    </w:p>
    <w:p w:rsidR="00A80F67" w:rsidRPr="00191647" w:rsidRDefault="00A80F67" w:rsidP="00A80F67">
      <w:pPr>
        <w:spacing w:before="60" w:after="60"/>
        <w:ind w:left="-567"/>
        <w:rPr>
          <w:b/>
          <w:color w:val="4F81BD" w:themeColor="accent1"/>
        </w:rPr>
      </w:pPr>
      <w:r w:rsidRPr="004C6E2E">
        <w:rPr>
          <w:b/>
          <w:color w:val="1F497D" w:themeColor="text2"/>
        </w:rPr>
        <w:lastRenderedPageBreak/>
        <w:t>This report represents formal advice from the Bevan Commission to the Minister for Health and Social Care. It is part of a wider programme of work being undertaken by the Bevan Commission</w:t>
      </w:r>
      <w:r w:rsidRPr="00191647">
        <w:rPr>
          <w:b/>
          <w:color w:val="4F81BD" w:themeColor="accent1"/>
        </w:rPr>
        <w:t xml:space="preserve">.  </w:t>
      </w:r>
    </w:p>
    <w:p w:rsidR="00A80F67" w:rsidRPr="0017164D" w:rsidRDefault="00A80F67" w:rsidP="00A80F67">
      <w:pPr>
        <w:spacing w:before="60" w:after="60"/>
        <w:ind w:left="-567"/>
        <w:rPr>
          <w:b/>
          <w:color w:val="4F81BD" w:themeColor="accent1"/>
          <w:sz w:val="28"/>
        </w:rPr>
      </w:pPr>
      <w:r w:rsidRPr="0017164D">
        <w:rPr>
          <w:b/>
          <w:color w:val="4F81BD" w:themeColor="accent1"/>
          <w:sz w:val="28"/>
        </w:rPr>
        <w:t>The Bevan Commission</w:t>
      </w:r>
    </w:p>
    <w:p w:rsidR="00A80F67" w:rsidRPr="00B4500F" w:rsidRDefault="00A80F67" w:rsidP="00A80F67">
      <w:pPr>
        <w:spacing w:before="60" w:after="60"/>
        <w:ind w:left="-567"/>
        <w:rPr>
          <w:sz w:val="28"/>
        </w:rPr>
      </w:pPr>
      <w:r w:rsidRPr="00AD450C">
        <w:t>The Bevan Commission is a group of international experts to help ensure that Wales can draw on best practice from across the world while remaining true to the principles of the NHS as established by Aneurin Bevan.</w:t>
      </w:r>
      <w:r w:rsidRPr="00AD450C">
        <w:rPr>
          <w:szCs w:val="18"/>
        </w:rPr>
        <w:t xml:space="preserve"> The Commission is not a formal part of the NHS in Wales and acts as an impartial advisory group to the Minister for Health and Social Services</w:t>
      </w:r>
      <w:r>
        <w:rPr>
          <w:szCs w:val="18"/>
        </w:rPr>
        <w:t>.</w:t>
      </w:r>
    </w:p>
    <w:p w:rsidR="00A80F67" w:rsidRDefault="00A80F67" w:rsidP="00A80F67">
      <w:pPr>
        <w:spacing w:before="60" w:after="60"/>
        <w:ind w:left="-567"/>
        <w:rPr>
          <w:b/>
          <w:color w:val="4F81BD" w:themeColor="accent1"/>
          <w:sz w:val="28"/>
        </w:rPr>
      </w:pPr>
      <w:r w:rsidRPr="00DC6FD3">
        <w:rPr>
          <w:b/>
          <w:color w:val="4F81BD" w:themeColor="accent1"/>
          <w:sz w:val="28"/>
        </w:rPr>
        <w:t>Current Bevan Commissioners</w:t>
      </w:r>
    </w:p>
    <w:tbl>
      <w:tblPr>
        <w:tblStyle w:val="TableGrid"/>
        <w:tblW w:w="1042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A80F67" w:rsidTr="00533099">
        <w:trPr>
          <w:trHeight w:val="514"/>
        </w:trPr>
        <w:tc>
          <w:tcPr>
            <w:tcW w:w="5211" w:type="dxa"/>
          </w:tcPr>
          <w:p w:rsidR="00A80F67" w:rsidRPr="00533099" w:rsidRDefault="00A80F67" w:rsidP="00533099">
            <w:pPr>
              <w:rPr>
                <w:sz w:val="24"/>
              </w:rPr>
            </w:pPr>
            <w:r>
              <w:rPr>
                <w:sz w:val="24"/>
              </w:rPr>
              <w:t>P</w:t>
            </w:r>
            <w:r w:rsidRPr="00191647">
              <w:rPr>
                <w:sz w:val="24"/>
              </w:rPr>
              <w:t>rofessor Sir Mansel Aylward CB, Chai</w:t>
            </w:r>
            <w:r w:rsidR="00533099">
              <w:rPr>
                <w:sz w:val="24"/>
              </w:rPr>
              <w:t>r</w:t>
            </w:r>
          </w:p>
        </w:tc>
        <w:tc>
          <w:tcPr>
            <w:tcW w:w="5211" w:type="dxa"/>
          </w:tcPr>
          <w:p w:rsidR="00A80F67" w:rsidRPr="00533099" w:rsidRDefault="00A80F67" w:rsidP="00533099">
            <w:pPr>
              <w:rPr>
                <w:sz w:val="24"/>
              </w:rPr>
            </w:pPr>
            <w:r w:rsidRPr="00191647">
              <w:rPr>
                <w:sz w:val="24"/>
              </w:rPr>
              <w:t>Juliet Luporini</w:t>
            </w:r>
          </w:p>
        </w:tc>
      </w:tr>
      <w:tr w:rsidR="00A80F67" w:rsidTr="00533099">
        <w:trPr>
          <w:trHeight w:val="514"/>
        </w:trPr>
        <w:tc>
          <w:tcPr>
            <w:tcW w:w="5211" w:type="dxa"/>
          </w:tcPr>
          <w:p w:rsidR="00A80F67" w:rsidRPr="00533099" w:rsidRDefault="00A80F67" w:rsidP="00533099">
            <w:pPr>
              <w:rPr>
                <w:sz w:val="24"/>
              </w:rPr>
            </w:pPr>
            <w:r w:rsidRPr="00191647">
              <w:rPr>
                <w:sz w:val="24"/>
              </w:rPr>
              <w:t>Nygaire Bevan</w:t>
            </w:r>
          </w:p>
        </w:tc>
        <w:tc>
          <w:tcPr>
            <w:tcW w:w="5211" w:type="dxa"/>
          </w:tcPr>
          <w:p w:rsidR="00A80F67" w:rsidRPr="00533099" w:rsidRDefault="00A80F67" w:rsidP="00533099">
            <w:pPr>
              <w:rPr>
                <w:sz w:val="24"/>
              </w:rPr>
            </w:pPr>
            <w:r w:rsidRPr="00191647">
              <w:rPr>
                <w:sz w:val="24"/>
              </w:rPr>
              <w:t>Professor Ewan Macdonald OBE</w:t>
            </w:r>
          </w:p>
        </w:tc>
      </w:tr>
      <w:tr w:rsidR="00A80F67" w:rsidTr="00533099">
        <w:trPr>
          <w:trHeight w:val="514"/>
        </w:trPr>
        <w:tc>
          <w:tcPr>
            <w:tcW w:w="5211" w:type="dxa"/>
          </w:tcPr>
          <w:p w:rsidR="00A80F67" w:rsidRPr="00533099" w:rsidRDefault="00A80F67" w:rsidP="00533099">
            <w:pPr>
              <w:rPr>
                <w:sz w:val="24"/>
              </w:rPr>
            </w:pPr>
            <w:r w:rsidRPr="00191647">
              <w:rPr>
                <w:sz w:val="24"/>
              </w:rPr>
              <w:t xml:space="preserve">Professor Bim Bhowmick OBE DL </w:t>
            </w:r>
          </w:p>
        </w:tc>
        <w:tc>
          <w:tcPr>
            <w:tcW w:w="5211" w:type="dxa"/>
          </w:tcPr>
          <w:p w:rsidR="00A80F67" w:rsidRPr="00533099" w:rsidRDefault="00A80F67" w:rsidP="00533099">
            <w:pPr>
              <w:rPr>
                <w:sz w:val="24"/>
              </w:rPr>
            </w:pPr>
            <w:r w:rsidRPr="00191647">
              <w:rPr>
                <w:sz w:val="24"/>
              </w:rPr>
              <w:t>Chris Martin</w:t>
            </w:r>
          </w:p>
        </w:tc>
      </w:tr>
      <w:tr w:rsidR="00A80F67" w:rsidTr="00533099">
        <w:trPr>
          <w:trHeight w:val="514"/>
        </w:trPr>
        <w:tc>
          <w:tcPr>
            <w:tcW w:w="5211" w:type="dxa"/>
          </w:tcPr>
          <w:p w:rsidR="00A80F67" w:rsidRPr="00533099" w:rsidRDefault="00A80F67" w:rsidP="00533099">
            <w:pPr>
              <w:rPr>
                <w:sz w:val="24"/>
              </w:rPr>
            </w:pPr>
            <w:r w:rsidRPr="00191647">
              <w:rPr>
                <w:sz w:val="24"/>
              </w:rPr>
              <w:t>Professor Dame Carol Black DBE</w:t>
            </w:r>
          </w:p>
        </w:tc>
        <w:tc>
          <w:tcPr>
            <w:tcW w:w="5211" w:type="dxa"/>
          </w:tcPr>
          <w:p w:rsidR="00A80F67" w:rsidRPr="00533099" w:rsidRDefault="00A80F67" w:rsidP="00533099">
            <w:pPr>
              <w:rPr>
                <w:sz w:val="24"/>
              </w:rPr>
            </w:pPr>
            <w:r w:rsidRPr="00191647">
              <w:rPr>
                <w:sz w:val="24"/>
              </w:rPr>
              <w:t>Professor Sir Michael Marmot</w:t>
            </w:r>
          </w:p>
        </w:tc>
      </w:tr>
      <w:tr w:rsidR="00A80F67" w:rsidTr="00533099">
        <w:trPr>
          <w:trHeight w:val="514"/>
        </w:trPr>
        <w:tc>
          <w:tcPr>
            <w:tcW w:w="5211" w:type="dxa"/>
          </w:tcPr>
          <w:p w:rsidR="00A80F67" w:rsidRPr="00533099" w:rsidRDefault="00A80F67" w:rsidP="00533099">
            <w:pPr>
              <w:rPr>
                <w:sz w:val="24"/>
              </w:rPr>
            </w:pPr>
            <w:r w:rsidRPr="00191647">
              <w:rPr>
                <w:sz w:val="24"/>
              </w:rPr>
              <w:t>Dr Tony Calland MBE</w:t>
            </w:r>
          </w:p>
        </w:tc>
        <w:tc>
          <w:tcPr>
            <w:tcW w:w="5211" w:type="dxa"/>
          </w:tcPr>
          <w:p w:rsidR="00A80F67" w:rsidRPr="00533099" w:rsidRDefault="00A80F67" w:rsidP="00533099">
            <w:pPr>
              <w:rPr>
                <w:sz w:val="24"/>
              </w:rPr>
            </w:pPr>
            <w:r w:rsidRPr="00191647">
              <w:rPr>
                <w:sz w:val="24"/>
              </w:rPr>
              <w:t>Professor Andrew Morris</w:t>
            </w:r>
          </w:p>
        </w:tc>
      </w:tr>
      <w:tr w:rsidR="00A80F67" w:rsidTr="00533099">
        <w:trPr>
          <w:trHeight w:val="514"/>
        </w:trPr>
        <w:tc>
          <w:tcPr>
            <w:tcW w:w="5211" w:type="dxa"/>
          </w:tcPr>
          <w:p w:rsidR="00A80F67" w:rsidRPr="00533099" w:rsidRDefault="00A80F67" w:rsidP="00533099">
            <w:pPr>
              <w:rPr>
                <w:sz w:val="24"/>
              </w:rPr>
            </w:pPr>
            <w:r w:rsidRPr="00191647">
              <w:rPr>
                <w:sz w:val="24"/>
              </w:rPr>
              <w:t>Sir Ian Carruthers OBE</w:t>
            </w:r>
          </w:p>
        </w:tc>
        <w:tc>
          <w:tcPr>
            <w:tcW w:w="5211" w:type="dxa"/>
          </w:tcPr>
          <w:p w:rsidR="00A80F67" w:rsidRPr="00533099" w:rsidRDefault="00A80F67" w:rsidP="00533099">
            <w:pPr>
              <w:rPr>
                <w:sz w:val="24"/>
              </w:rPr>
            </w:pPr>
            <w:r w:rsidRPr="00191647">
              <w:rPr>
                <w:sz w:val="24"/>
              </w:rPr>
              <w:t>Professor Sir Anthony Newman Taylor CBE</w:t>
            </w:r>
          </w:p>
        </w:tc>
      </w:tr>
      <w:tr w:rsidR="00A80F67" w:rsidTr="00533099">
        <w:trPr>
          <w:trHeight w:val="514"/>
        </w:trPr>
        <w:tc>
          <w:tcPr>
            <w:tcW w:w="5211" w:type="dxa"/>
          </w:tcPr>
          <w:p w:rsidR="00A80F67" w:rsidRPr="00533099" w:rsidRDefault="00A80F67" w:rsidP="00533099">
            <w:pPr>
              <w:rPr>
                <w:sz w:val="24"/>
              </w:rPr>
            </w:pPr>
            <w:r w:rsidRPr="00191647">
              <w:rPr>
                <w:sz w:val="24"/>
              </w:rPr>
              <w:t>Mary Cowern</w:t>
            </w:r>
          </w:p>
        </w:tc>
        <w:tc>
          <w:tcPr>
            <w:tcW w:w="5211" w:type="dxa"/>
          </w:tcPr>
          <w:p w:rsidR="00A80F67" w:rsidRPr="00533099" w:rsidRDefault="00A80F67" w:rsidP="00533099">
            <w:pPr>
              <w:rPr>
                <w:sz w:val="24"/>
              </w:rPr>
            </w:pPr>
            <w:r w:rsidRPr="00191647">
              <w:rPr>
                <w:sz w:val="24"/>
              </w:rPr>
              <w:t>Dr Helen Paterson</w:t>
            </w:r>
          </w:p>
        </w:tc>
      </w:tr>
      <w:tr w:rsidR="00A80F67" w:rsidTr="00533099">
        <w:trPr>
          <w:trHeight w:val="514"/>
        </w:trPr>
        <w:tc>
          <w:tcPr>
            <w:tcW w:w="5211" w:type="dxa"/>
          </w:tcPr>
          <w:p w:rsidR="00A80F67" w:rsidRPr="00533099" w:rsidRDefault="00A80F67" w:rsidP="00533099">
            <w:pPr>
              <w:rPr>
                <w:sz w:val="24"/>
              </w:rPr>
            </w:pPr>
            <w:r w:rsidRPr="00191647">
              <w:rPr>
                <w:sz w:val="24"/>
              </w:rPr>
              <w:t>Ruth Dineen</w:t>
            </w:r>
          </w:p>
        </w:tc>
        <w:tc>
          <w:tcPr>
            <w:tcW w:w="5211" w:type="dxa"/>
          </w:tcPr>
          <w:p w:rsidR="00A80F67" w:rsidRPr="00533099" w:rsidRDefault="00A80F67" w:rsidP="00533099">
            <w:pPr>
              <w:rPr>
                <w:sz w:val="24"/>
              </w:rPr>
            </w:pPr>
            <w:r w:rsidRPr="00191647">
              <w:rPr>
                <w:sz w:val="24"/>
              </w:rPr>
              <w:t>Professor Elizabeth Robb OBE</w:t>
            </w:r>
          </w:p>
        </w:tc>
      </w:tr>
      <w:tr w:rsidR="00A80F67" w:rsidTr="00533099">
        <w:trPr>
          <w:trHeight w:val="514"/>
        </w:trPr>
        <w:tc>
          <w:tcPr>
            <w:tcW w:w="5211" w:type="dxa"/>
          </w:tcPr>
          <w:p w:rsidR="00A80F67" w:rsidRPr="00191647" w:rsidRDefault="00A80F67" w:rsidP="00533099">
            <w:pPr>
              <w:rPr>
                <w:sz w:val="24"/>
              </w:rPr>
            </w:pPr>
            <w:r w:rsidRPr="00191647">
              <w:rPr>
                <w:sz w:val="24"/>
              </w:rPr>
              <w:t>Dr Clare Gerada MBE</w:t>
            </w:r>
          </w:p>
        </w:tc>
        <w:tc>
          <w:tcPr>
            <w:tcW w:w="5211" w:type="dxa"/>
          </w:tcPr>
          <w:p w:rsidR="00A80F67" w:rsidRPr="00533099" w:rsidRDefault="00A80F67" w:rsidP="00533099">
            <w:pPr>
              <w:rPr>
                <w:sz w:val="24"/>
              </w:rPr>
            </w:pPr>
            <w:r w:rsidRPr="00191647">
              <w:rPr>
                <w:sz w:val="24"/>
              </w:rPr>
              <w:t>Professor Phillip Routledge OBE</w:t>
            </w:r>
          </w:p>
        </w:tc>
      </w:tr>
      <w:tr w:rsidR="00A80F67" w:rsidTr="00533099">
        <w:trPr>
          <w:trHeight w:val="514"/>
        </w:trPr>
        <w:tc>
          <w:tcPr>
            <w:tcW w:w="5211" w:type="dxa"/>
          </w:tcPr>
          <w:p w:rsidR="00A80F67" w:rsidRPr="00191647" w:rsidRDefault="00A80F67" w:rsidP="00533099">
            <w:pPr>
              <w:rPr>
                <w:sz w:val="24"/>
              </w:rPr>
            </w:pPr>
            <w:r w:rsidRPr="00191647">
              <w:rPr>
                <w:sz w:val="24"/>
              </w:rPr>
              <w:t>Professor Trevor Jones CBE</w:t>
            </w:r>
          </w:p>
        </w:tc>
        <w:tc>
          <w:tcPr>
            <w:tcW w:w="5211" w:type="dxa"/>
          </w:tcPr>
          <w:p w:rsidR="00A80F67" w:rsidRPr="00533099" w:rsidRDefault="00A80F67" w:rsidP="00533099">
            <w:pPr>
              <w:rPr>
                <w:sz w:val="24"/>
              </w:rPr>
            </w:pPr>
            <w:r w:rsidRPr="00191647">
              <w:rPr>
                <w:sz w:val="24"/>
              </w:rPr>
              <w:t>Fran Targett</w:t>
            </w:r>
            <w:r>
              <w:rPr>
                <w:sz w:val="24"/>
              </w:rPr>
              <w:t xml:space="preserve"> OBE</w:t>
            </w:r>
          </w:p>
        </w:tc>
      </w:tr>
      <w:tr w:rsidR="00A80F67" w:rsidTr="00533099">
        <w:trPr>
          <w:trHeight w:val="514"/>
        </w:trPr>
        <w:tc>
          <w:tcPr>
            <w:tcW w:w="5211" w:type="dxa"/>
          </w:tcPr>
          <w:p w:rsidR="00A80F67" w:rsidRPr="00191647" w:rsidRDefault="00A80F67" w:rsidP="00533099">
            <w:pPr>
              <w:rPr>
                <w:sz w:val="24"/>
              </w:rPr>
            </w:pPr>
            <w:r w:rsidRPr="00191647">
              <w:rPr>
                <w:sz w:val="24"/>
              </w:rPr>
              <w:t>Lt General Louis Lillywhite CB, MBE, OStJ</w:t>
            </w:r>
          </w:p>
        </w:tc>
        <w:tc>
          <w:tcPr>
            <w:tcW w:w="5211" w:type="dxa"/>
          </w:tcPr>
          <w:p w:rsidR="00A80F67" w:rsidRPr="00533099" w:rsidRDefault="00A80F67" w:rsidP="00533099">
            <w:pPr>
              <w:rPr>
                <w:sz w:val="24"/>
              </w:rPr>
            </w:pPr>
            <w:r w:rsidRPr="00191647">
              <w:rPr>
                <w:sz w:val="24"/>
              </w:rPr>
              <w:t>Sir Paul Williams OBE CStJ DL</w:t>
            </w:r>
          </w:p>
        </w:tc>
      </w:tr>
      <w:tr w:rsidR="00A80F67" w:rsidTr="00533099">
        <w:trPr>
          <w:trHeight w:val="514"/>
        </w:trPr>
        <w:tc>
          <w:tcPr>
            <w:tcW w:w="5211" w:type="dxa"/>
          </w:tcPr>
          <w:p w:rsidR="00A80F67" w:rsidRPr="00191647" w:rsidRDefault="00A80F67" w:rsidP="00533099">
            <w:pPr>
              <w:rPr>
                <w:sz w:val="24"/>
              </w:rPr>
            </w:pPr>
            <w:r w:rsidRPr="00191647">
              <w:rPr>
                <w:sz w:val="24"/>
              </w:rPr>
              <w:t>Ann Lloyd CBE</w:t>
            </w:r>
          </w:p>
        </w:tc>
        <w:tc>
          <w:tcPr>
            <w:tcW w:w="5211" w:type="dxa"/>
          </w:tcPr>
          <w:p w:rsidR="00A80F67" w:rsidRPr="00533099" w:rsidRDefault="00A80F67" w:rsidP="00533099">
            <w:pPr>
              <w:rPr>
                <w:sz w:val="24"/>
              </w:rPr>
            </w:pPr>
            <w:r w:rsidRPr="00191647">
              <w:rPr>
                <w:sz w:val="24"/>
              </w:rPr>
              <w:t xml:space="preserve">Professor John Wyn Owen </w:t>
            </w:r>
            <w:r>
              <w:rPr>
                <w:sz w:val="24"/>
              </w:rPr>
              <w:t>CBE</w:t>
            </w:r>
          </w:p>
        </w:tc>
      </w:tr>
    </w:tbl>
    <w:p w:rsidR="00A80F67" w:rsidRPr="00A80F67" w:rsidRDefault="00A80F67" w:rsidP="00A80F67">
      <w:pPr>
        <w:ind w:left="-567"/>
      </w:pPr>
      <w:r w:rsidRPr="00DC6FD3">
        <w:rPr>
          <w:b/>
          <w:color w:val="4F81BD" w:themeColor="accent1"/>
          <w:sz w:val="28"/>
        </w:rPr>
        <w:t>Bevan Commission Staff</w:t>
      </w:r>
    </w:p>
    <w:p w:rsidR="00A80F67" w:rsidRPr="00AD450C" w:rsidRDefault="00A80F67" w:rsidP="00396AAD">
      <w:pPr>
        <w:spacing w:before="60" w:after="60"/>
        <w:ind w:left="-567"/>
      </w:pPr>
      <w:proofErr w:type="gramStart"/>
      <w:r w:rsidRPr="00AD450C">
        <w:t>Helen Howson (</w:t>
      </w:r>
      <w:r>
        <w:t>Director Bevan Commission/</w:t>
      </w:r>
      <w:r w:rsidR="00C72180">
        <w:t xml:space="preserve">Bevan Academy, </w:t>
      </w:r>
      <w:r w:rsidRPr="00AD450C">
        <w:t>Consultant in Public Health</w:t>
      </w:r>
      <w:r w:rsidR="00EA70B5">
        <w:t>)</w:t>
      </w:r>
      <w:r w:rsidRPr="00AD450C">
        <w:t>,</w:t>
      </w:r>
      <w:r w:rsidR="00396AAD">
        <w:t xml:space="preserve"> </w:t>
      </w:r>
      <w:r w:rsidR="00C72180">
        <w:t>Sion Charles (Deputy Director</w:t>
      </w:r>
      <w:r w:rsidR="00EA70B5">
        <w:t xml:space="preserve">) and </w:t>
      </w:r>
      <w:r w:rsidR="00396AAD">
        <w:t xml:space="preserve">Dr Tom Powell </w:t>
      </w:r>
      <w:r w:rsidRPr="00AD450C">
        <w:t>(</w:t>
      </w:r>
      <w:r w:rsidR="00396AAD">
        <w:t>Researcher</w:t>
      </w:r>
      <w:r w:rsidRPr="00AD450C">
        <w:t>)</w:t>
      </w:r>
      <w:r w:rsidR="00396AAD">
        <w:t>.</w:t>
      </w:r>
      <w:proofErr w:type="gramEnd"/>
      <w:r>
        <w:t xml:space="preserve"> </w:t>
      </w:r>
    </w:p>
    <w:p w:rsidR="00A80F67" w:rsidRPr="00DC6FD3" w:rsidRDefault="00A80F67" w:rsidP="00A80F67">
      <w:pPr>
        <w:spacing w:before="60" w:after="60"/>
        <w:ind w:left="-567"/>
        <w:rPr>
          <w:b/>
          <w:color w:val="4F81BD" w:themeColor="accent1"/>
          <w:sz w:val="28"/>
        </w:rPr>
      </w:pPr>
      <w:r w:rsidRPr="00DC6FD3">
        <w:rPr>
          <w:b/>
          <w:color w:val="4F81BD" w:themeColor="accent1"/>
          <w:sz w:val="28"/>
        </w:rPr>
        <w:t>Special Advisors</w:t>
      </w:r>
    </w:p>
    <w:p w:rsidR="00A80F67" w:rsidRDefault="00A80F67" w:rsidP="00A80F67">
      <w:pPr>
        <w:spacing w:before="60" w:after="60"/>
        <w:ind w:left="-567"/>
      </w:pPr>
      <w:r>
        <w:t xml:space="preserve">Current </w:t>
      </w:r>
      <w:r w:rsidRPr="00AD450C">
        <w:t>Special Advisors to the Bevan Commission</w:t>
      </w:r>
      <w:r>
        <w:t xml:space="preserve"> are </w:t>
      </w:r>
      <w:r w:rsidRPr="00AD450C">
        <w:t>Professor Marcus Longley</w:t>
      </w:r>
      <w:r>
        <w:t>,</w:t>
      </w:r>
      <w:r w:rsidRPr="00AD450C">
        <w:t xml:space="preserve"> Professor Donna Mead OBE</w:t>
      </w:r>
      <w:r>
        <w:t>, Professor Marc Clements and Professor Ceri Phillips.</w:t>
      </w:r>
    </w:p>
    <w:p w:rsidR="00A80F67" w:rsidRPr="00DC6FD3" w:rsidRDefault="00A80F67" w:rsidP="00A80F67">
      <w:pPr>
        <w:spacing w:before="60" w:after="60"/>
        <w:ind w:left="-567"/>
        <w:rPr>
          <w:b/>
          <w:color w:val="4F81BD" w:themeColor="accent1"/>
          <w:sz w:val="28"/>
        </w:rPr>
      </w:pPr>
      <w:r w:rsidRPr="00DC6FD3">
        <w:rPr>
          <w:b/>
          <w:color w:val="4F81BD" w:themeColor="accent1"/>
          <w:sz w:val="28"/>
        </w:rPr>
        <w:t>Publications</w:t>
      </w:r>
    </w:p>
    <w:p w:rsidR="00A80F67" w:rsidRPr="005135C2" w:rsidRDefault="00A80F67" w:rsidP="00A80F67">
      <w:pPr>
        <w:spacing w:before="60" w:after="60"/>
        <w:ind w:left="-567"/>
      </w:pPr>
      <w:r w:rsidRPr="00AD450C">
        <w:t xml:space="preserve">Reports produced by the Bevan Commission are published on the Commission website at </w:t>
      </w:r>
      <w:hyperlink r:id="rId10" w:history="1">
        <w:r w:rsidRPr="00AD450C">
          <w:rPr>
            <w:rStyle w:val="Hyperlink"/>
          </w:rPr>
          <w:t>www.bevancommission.org</w:t>
        </w:r>
      </w:hyperlink>
      <w:r w:rsidRPr="005135C2">
        <w:t>.</w:t>
      </w:r>
    </w:p>
    <w:p w:rsidR="00533099" w:rsidRDefault="00A80F67" w:rsidP="00A80F67">
      <w:pPr>
        <w:spacing w:before="60" w:after="60"/>
        <w:ind w:left="-567"/>
        <w:rPr>
          <w:b/>
          <w:color w:val="4F81BD" w:themeColor="accent1"/>
          <w:sz w:val="28"/>
        </w:rPr>
      </w:pPr>
      <w:r w:rsidRPr="00B4500F">
        <w:rPr>
          <w:b/>
          <w:color w:val="4F81BD" w:themeColor="accent1"/>
          <w:sz w:val="28"/>
        </w:rPr>
        <w:t>Contact</w:t>
      </w:r>
    </w:p>
    <w:p w:rsidR="00396AAD" w:rsidRDefault="00A80F67" w:rsidP="00396AAD">
      <w:pPr>
        <w:spacing w:before="60" w:after="60"/>
        <w:ind w:left="-567"/>
        <w:sectPr w:rsidR="00396AAD" w:rsidSect="00396AAD">
          <w:pgSz w:w="11906" w:h="16838" w:code="9"/>
          <w:pgMar w:top="624" w:right="851" w:bottom="624" w:left="1134" w:header="709" w:footer="709" w:gutter="0"/>
          <w:cols w:space="708"/>
          <w:titlePg/>
          <w:docGrid w:linePitch="360"/>
        </w:sectPr>
      </w:pPr>
      <w:r w:rsidRPr="00AD450C">
        <w:t>All correspondence should be addressed to the Bevan Commission, 14 Cathedral Road, Cardiff, CF11 9LJ.</w:t>
      </w:r>
    </w:p>
    <w:p w:rsidR="00455DFA" w:rsidRPr="005D5167" w:rsidRDefault="00455DFA" w:rsidP="00396AAD">
      <w:pPr>
        <w:pStyle w:val="Heading1"/>
      </w:pPr>
      <w:r w:rsidRPr="005D5167">
        <w:lastRenderedPageBreak/>
        <w:t>Introduction</w:t>
      </w:r>
    </w:p>
    <w:p w:rsidR="00455DFA" w:rsidRPr="00396AAD" w:rsidRDefault="00455DFA" w:rsidP="00396AAD">
      <w:pPr>
        <w:spacing w:before="120"/>
        <w:ind w:left="-113"/>
        <w:jc w:val="both"/>
        <w:rPr>
          <w:b/>
          <w:sz w:val="22"/>
        </w:rPr>
      </w:pPr>
      <w:r w:rsidRPr="00396AAD">
        <w:rPr>
          <w:sz w:val="22"/>
        </w:rPr>
        <w:t>Th</w:t>
      </w:r>
      <w:r w:rsidR="00BB1973" w:rsidRPr="00396AAD">
        <w:rPr>
          <w:sz w:val="22"/>
        </w:rPr>
        <w:t xml:space="preserve">e purpose of the </w:t>
      </w:r>
      <w:r w:rsidRPr="00396AAD">
        <w:rPr>
          <w:sz w:val="22"/>
        </w:rPr>
        <w:t xml:space="preserve">paper </w:t>
      </w:r>
      <w:r w:rsidR="00BB1973" w:rsidRPr="00396AAD">
        <w:rPr>
          <w:sz w:val="22"/>
        </w:rPr>
        <w:t xml:space="preserve">is to </w:t>
      </w:r>
      <w:r w:rsidR="00C72180" w:rsidRPr="00396AAD">
        <w:rPr>
          <w:sz w:val="22"/>
        </w:rPr>
        <w:t xml:space="preserve">consider </w:t>
      </w:r>
      <w:r w:rsidR="00993431" w:rsidRPr="00396AAD">
        <w:rPr>
          <w:sz w:val="22"/>
        </w:rPr>
        <w:t xml:space="preserve">the potential definitions of early intervention and assess their </w:t>
      </w:r>
      <w:r w:rsidR="00EA70B5" w:rsidRPr="00396AAD">
        <w:rPr>
          <w:sz w:val="22"/>
        </w:rPr>
        <w:t>consistency</w:t>
      </w:r>
      <w:r w:rsidR="00993431" w:rsidRPr="00396AAD">
        <w:rPr>
          <w:sz w:val="22"/>
        </w:rPr>
        <w:t xml:space="preserve"> with the pr</w:t>
      </w:r>
      <w:r w:rsidR="00EA70B5" w:rsidRPr="00396AAD">
        <w:rPr>
          <w:sz w:val="22"/>
        </w:rPr>
        <w:t>inciples of prudent healthcare.</w:t>
      </w:r>
      <w:r w:rsidRPr="00396AAD">
        <w:rPr>
          <w:sz w:val="22"/>
        </w:rPr>
        <w:t xml:space="preserve"> </w:t>
      </w:r>
      <w:r w:rsidR="00265488" w:rsidRPr="00396AAD">
        <w:rPr>
          <w:sz w:val="22"/>
        </w:rPr>
        <w:t>To help achieve this we explore the interpretation of early intervention</w:t>
      </w:r>
      <w:r w:rsidR="00E24167" w:rsidRPr="00396AAD">
        <w:rPr>
          <w:sz w:val="22"/>
        </w:rPr>
        <w:t>,</w:t>
      </w:r>
      <w:r w:rsidR="00265488" w:rsidRPr="00396AAD">
        <w:rPr>
          <w:sz w:val="22"/>
        </w:rPr>
        <w:t xml:space="preserve"> drawing from its application within </w:t>
      </w:r>
      <w:r w:rsidR="00265488" w:rsidRPr="00396AAD">
        <w:rPr>
          <w:b/>
          <w:sz w:val="22"/>
        </w:rPr>
        <w:t>a prudent approach to health.</w:t>
      </w:r>
    </w:p>
    <w:p w:rsidR="00455DFA" w:rsidRPr="005D5167" w:rsidRDefault="00455DFA" w:rsidP="005D2747">
      <w:pPr>
        <w:pStyle w:val="Heading1"/>
      </w:pPr>
      <w:r w:rsidRPr="005D5167">
        <w:t>B</w:t>
      </w:r>
      <w:r>
        <w:t>ackground</w:t>
      </w:r>
      <w:r w:rsidRPr="005D5167">
        <w:t xml:space="preserve"> </w:t>
      </w:r>
    </w:p>
    <w:p w:rsidR="00455DFA" w:rsidRPr="00396AAD" w:rsidRDefault="00455DFA" w:rsidP="00396AAD">
      <w:pPr>
        <w:spacing w:before="120"/>
        <w:ind w:left="-113"/>
        <w:jc w:val="both"/>
        <w:rPr>
          <w:sz w:val="22"/>
        </w:rPr>
      </w:pPr>
      <w:r w:rsidRPr="00396AAD">
        <w:rPr>
          <w:sz w:val="22"/>
        </w:rPr>
        <w:t>Many well known proverbs encourage immediate effort over delayed action; ‘a stitch in time saves nine’; ‘the early bird catches the worm’; ‘many a little makes a mickle’; and ‘an ounce of prevention is worth a pound of cure’. Th</w:t>
      </w:r>
      <w:r w:rsidR="00C72180" w:rsidRPr="00396AAD">
        <w:rPr>
          <w:sz w:val="22"/>
        </w:rPr>
        <w:t xml:space="preserve">e fact that these </w:t>
      </w:r>
      <w:r w:rsidRPr="00396AAD">
        <w:rPr>
          <w:sz w:val="22"/>
        </w:rPr>
        <w:t xml:space="preserve">examples are numerous, well known and have long existed, reinforces the widely held perception of the superiority of early effort and timely action. </w:t>
      </w:r>
      <w:proofErr w:type="gramStart"/>
      <w:r w:rsidR="00C411DF" w:rsidRPr="00396AAD">
        <w:rPr>
          <w:sz w:val="22"/>
        </w:rPr>
        <w:t>To</w:t>
      </w:r>
      <w:proofErr w:type="gramEnd"/>
      <w:r w:rsidR="00C411DF" w:rsidRPr="00396AAD">
        <w:rPr>
          <w:sz w:val="22"/>
        </w:rPr>
        <w:t xml:space="preserve"> many</w:t>
      </w:r>
      <w:r w:rsidR="00391FB0">
        <w:rPr>
          <w:sz w:val="22"/>
        </w:rPr>
        <w:t>,</w:t>
      </w:r>
      <w:r w:rsidR="00C411DF" w:rsidRPr="00396AAD">
        <w:rPr>
          <w:sz w:val="22"/>
        </w:rPr>
        <w:t xml:space="preserve"> </w:t>
      </w:r>
      <w:r w:rsidR="00EA70B5" w:rsidRPr="00396AAD">
        <w:rPr>
          <w:sz w:val="22"/>
        </w:rPr>
        <w:t>that</w:t>
      </w:r>
      <w:r w:rsidRPr="00396AAD">
        <w:rPr>
          <w:sz w:val="22"/>
        </w:rPr>
        <w:t xml:space="preserve"> such approaches result in clear benefit is a simple, undeniable premise, ‘</w:t>
      </w:r>
      <w:r w:rsidRPr="00396AAD">
        <w:rPr>
          <w:b/>
          <w:i/>
          <w:sz w:val="22"/>
        </w:rPr>
        <w:t>Prevention is better than cure. That is a simple truth...it is a no brainer ...with which few would disagree</w:t>
      </w:r>
      <w:r w:rsidR="00EA70B5" w:rsidRPr="00396AAD">
        <w:rPr>
          <w:b/>
          <w:i/>
          <w:sz w:val="22"/>
        </w:rPr>
        <w:t xml:space="preserve">’ </w:t>
      </w:r>
      <w:r w:rsidRPr="00396AAD">
        <w:rPr>
          <w:rStyle w:val="FootnoteReference"/>
          <w:b/>
          <w:i/>
          <w:sz w:val="22"/>
        </w:rPr>
        <w:footnoteReference w:id="1"/>
      </w:r>
      <w:r w:rsidRPr="00396AAD">
        <w:rPr>
          <w:sz w:val="22"/>
        </w:rPr>
        <w:t>.</w:t>
      </w:r>
    </w:p>
    <w:p w:rsidR="00265488" w:rsidRPr="00396AAD" w:rsidRDefault="00455DFA" w:rsidP="00396AAD">
      <w:pPr>
        <w:pStyle w:val="NoSpacing"/>
        <w:spacing w:before="120" w:line="276" w:lineRule="auto"/>
        <w:ind w:left="-113"/>
        <w:jc w:val="both"/>
      </w:pPr>
      <w:r w:rsidRPr="00396AAD">
        <w:t>Across a range of different areas such as health, social care and justice there is broad consensus that more should be done earlier, but when it comes to</w:t>
      </w:r>
      <w:r w:rsidR="00C411DF" w:rsidRPr="00396AAD">
        <w:t xml:space="preserve"> the</w:t>
      </w:r>
      <w:r w:rsidRPr="00396AAD">
        <w:t xml:space="preserve"> detail there is little clarity or consensus about how this should be achieved. </w:t>
      </w:r>
      <w:r w:rsidR="00265488" w:rsidRPr="00396AAD">
        <w:t xml:space="preserve">There is little published work challenging the accepted orthodoxy, questioning whether it is </w:t>
      </w:r>
      <w:r w:rsidR="00D60452" w:rsidRPr="00396AAD">
        <w:t xml:space="preserve">always </w:t>
      </w:r>
      <w:r w:rsidR="00265488" w:rsidRPr="00396AAD">
        <w:t>prudent to intervene in all situations</w:t>
      </w:r>
      <w:r w:rsidR="003E19B4" w:rsidRPr="00396AAD">
        <w:t xml:space="preserve"> at the </w:t>
      </w:r>
      <w:r w:rsidR="00265488" w:rsidRPr="00396AAD">
        <w:t>earl</w:t>
      </w:r>
      <w:r w:rsidR="003E19B4" w:rsidRPr="00396AAD">
        <w:t xml:space="preserve">iest </w:t>
      </w:r>
      <w:r w:rsidR="00265488" w:rsidRPr="00396AAD">
        <w:t>stage</w:t>
      </w:r>
      <w:r w:rsidR="003E19B4" w:rsidRPr="00396AAD">
        <w:t xml:space="preserve"> possible. </w:t>
      </w:r>
    </w:p>
    <w:p w:rsidR="00455DFA" w:rsidRPr="00396AAD" w:rsidRDefault="00C72180" w:rsidP="00396AAD">
      <w:pPr>
        <w:pStyle w:val="NoSpacing"/>
        <w:spacing w:before="120" w:line="276" w:lineRule="auto"/>
        <w:ind w:left="-113"/>
        <w:jc w:val="both"/>
      </w:pPr>
      <w:r w:rsidRPr="00396AAD">
        <w:t>A</w:t>
      </w:r>
      <w:r w:rsidR="00455DFA" w:rsidRPr="00396AAD">
        <w:t xml:space="preserve"> wide range of ways </w:t>
      </w:r>
      <w:r w:rsidR="00C411DF" w:rsidRPr="00396AAD">
        <w:t xml:space="preserve">exist </w:t>
      </w:r>
      <w:r w:rsidRPr="00396AAD">
        <w:t xml:space="preserve">in which </w:t>
      </w:r>
      <w:r w:rsidR="00455DFA" w:rsidRPr="00396AAD">
        <w:t>such action can be implemented and to who</w:t>
      </w:r>
      <w:r w:rsidR="001350E9" w:rsidRPr="00396AAD">
        <w:t>m</w:t>
      </w:r>
      <w:r w:rsidR="003E27CA" w:rsidRPr="00396AAD">
        <w:t>,</w:t>
      </w:r>
      <w:r w:rsidR="001350E9" w:rsidRPr="00396AAD">
        <w:t xml:space="preserve"> and</w:t>
      </w:r>
      <w:r w:rsidR="00455DFA" w:rsidRPr="00396AAD">
        <w:t xml:space="preserve"> </w:t>
      </w:r>
      <w:r w:rsidR="003E27CA" w:rsidRPr="00396AAD">
        <w:t xml:space="preserve">this </w:t>
      </w:r>
      <w:r w:rsidR="00455DFA" w:rsidRPr="00396AAD">
        <w:t>has resulted in a variety of terms, definit</w:t>
      </w:r>
      <w:r w:rsidR="00C411DF" w:rsidRPr="00396AAD">
        <w:t>ions and concepts that can obscure</w:t>
      </w:r>
      <w:r w:rsidR="00455DFA" w:rsidRPr="00396AAD">
        <w:t xml:space="preserve"> rather than illuminate, </w:t>
      </w:r>
      <w:r w:rsidRPr="00396AAD">
        <w:t xml:space="preserve">often </w:t>
      </w:r>
      <w:r w:rsidR="00455DFA" w:rsidRPr="00396AAD">
        <w:t xml:space="preserve">leading to confusion -  </w:t>
      </w:r>
      <w:r w:rsidR="00455DFA" w:rsidRPr="00396AAD">
        <w:rPr>
          <w:b/>
        </w:rPr>
        <w:t>greater clarity is needed</w:t>
      </w:r>
      <w:r w:rsidR="00455DFA" w:rsidRPr="00396AAD">
        <w:t>.</w:t>
      </w:r>
    </w:p>
    <w:p w:rsidR="00455DFA" w:rsidRPr="00A25DC1" w:rsidRDefault="00455DFA" w:rsidP="005D2747">
      <w:pPr>
        <w:pStyle w:val="Heading1"/>
      </w:pPr>
      <w:r>
        <w:t>A</w:t>
      </w:r>
      <w:r w:rsidRPr="00A25DC1">
        <w:t xml:space="preserve"> concept </w:t>
      </w:r>
      <w:r w:rsidRPr="00193FE2">
        <w:t>rather</w:t>
      </w:r>
      <w:r w:rsidRPr="00A25DC1">
        <w:t xml:space="preserve"> than definition?</w:t>
      </w:r>
    </w:p>
    <w:p w:rsidR="00455DFA" w:rsidRPr="00396AAD" w:rsidRDefault="00455DFA" w:rsidP="00396AAD">
      <w:pPr>
        <w:autoSpaceDE w:val="0"/>
        <w:autoSpaceDN w:val="0"/>
        <w:adjustRightInd w:val="0"/>
        <w:spacing w:before="120" w:after="0"/>
        <w:ind w:left="-113"/>
        <w:jc w:val="both"/>
        <w:rPr>
          <w:rFonts w:cs="Arial"/>
          <w:sz w:val="22"/>
        </w:rPr>
      </w:pPr>
      <w:r w:rsidRPr="00396AAD">
        <w:rPr>
          <w:rFonts w:cs="Arial"/>
          <w:sz w:val="22"/>
        </w:rPr>
        <w:t xml:space="preserve">The ideas </w:t>
      </w:r>
      <w:r w:rsidR="00C72180" w:rsidRPr="00396AAD">
        <w:rPr>
          <w:rFonts w:cs="Arial"/>
          <w:sz w:val="22"/>
        </w:rPr>
        <w:t>behind</w:t>
      </w:r>
      <w:r w:rsidRPr="00396AAD">
        <w:rPr>
          <w:rFonts w:cs="Arial"/>
          <w:sz w:val="22"/>
        </w:rPr>
        <w:t xml:space="preserve"> prevention, early intervention and early action are gaining considerable traction within </w:t>
      </w:r>
      <w:r w:rsidR="00C411DF" w:rsidRPr="00396AAD">
        <w:rPr>
          <w:rFonts w:cs="Arial"/>
          <w:sz w:val="22"/>
        </w:rPr>
        <w:t xml:space="preserve">national and devolved </w:t>
      </w:r>
      <w:r w:rsidRPr="00396AAD">
        <w:rPr>
          <w:rFonts w:cs="Arial"/>
          <w:sz w:val="22"/>
        </w:rPr>
        <w:t>UK policy</w:t>
      </w:r>
      <w:r w:rsidR="00C745FF" w:rsidRPr="00396AAD">
        <w:rPr>
          <w:rStyle w:val="FootnoteReference"/>
          <w:rFonts w:cs="Arial"/>
          <w:sz w:val="22"/>
        </w:rPr>
        <w:footnoteReference w:id="2"/>
      </w:r>
      <w:r w:rsidRPr="00396AAD">
        <w:rPr>
          <w:rFonts w:cs="Arial"/>
          <w:sz w:val="22"/>
        </w:rPr>
        <w:t xml:space="preserve">, yet on closer consideration </w:t>
      </w:r>
      <w:r w:rsidRPr="00396AAD">
        <w:rPr>
          <w:rFonts w:cs="Arial"/>
          <w:b/>
          <w:sz w:val="22"/>
        </w:rPr>
        <w:t>no strict definitions exist or are consistently applied</w:t>
      </w:r>
      <w:r w:rsidRPr="00396AAD">
        <w:rPr>
          <w:rFonts w:cs="Arial"/>
          <w:sz w:val="22"/>
        </w:rPr>
        <w:t xml:space="preserve">. </w:t>
      </w:r>
    </w:p>
    <w:p w:rsidR="00455DFA" w:rsidRPr="00396AAD" w:rsidRDefault="00455DFA" w:rsidP="00396AAD">
      <w:pPr>
        <w:autoSpaceDE w:val="0"/>
        <w:autoSpaceDN w:val="0"/>
        <w:adjustRightInd w:val="0"/>
        <w:spacing w:before="120" w:after="0"/>
        <w:ind w:left="-113"/>
        <w:jc w:val="both"/>
        <w:rPr>
          <w:rFonts w:cs="Arial"/>
          <w:sz w:val="22"/>
        </w:rPr>
      </w:pPr>
      <w:r w:rsidRPr="00396AAD">
        <w:rPr>
          <w:rFonts w:cs="Arial"/>
          <w:sz w:val="22"/>
        </w:rPr>
        <w:t>‘</w:t>
      </w:r>
      <w:r w:rsidRPr="00396AAD">
        <w:rPr>
          <w:sz w:val="22"/>
        </w:rPr>
        <w:t>Prevention’ can be described as operating at a population level pre-empting occurrences and does not broadly concern itself with a particular group.  Whereas</w:t>
      </w:r>
      <w:r w:rsidR="00341B65" w:rsidRPr="00396AAD">
        <w:rPr>
          <w:sz w:val="22"/>
        </w:rPr>
        <w:t>,</w:t>
      </w:r>
      <w:r w:rsidRPr="00396AAD">
        <w:rPr>
          <w:sz w:val="22"/>
        </w:rPr>
        <w:t xml:space="preserve"> ‘Intervention’ is more concerned </w:t>
      </w:r>
      <w:r w:rsidR="00EA70B5" w:rsidRPr="00396AAD">
        <w:rPr>
          <w:sz w:val="22"/>
        </w:rPr>
        <w:t xml:space="preserve">with </w:t>
      </w:r>
      <w:r w:rsidRPr="00396AAD">
        <w:rPr>
          <w:sz w:val="22"/>
        </w:rPr>
        <w:t>specific individuals ‘at risk’ either medically or socially, to change or adapt their future trajectory.</w:t>
      </w:r>
      <w:r w:rsidRPr="00396AAD">
        <w:rPr>
          <w:rFonts w:cs="Arial"/>
          <w:sz w:val="22"/>
        </w:rPr>
        <w:t xml:space="preserve"> </w:t>
      </w:r>
      <w:r w:rsidR="00D60452" w:rsidRPr="00396AAD">
        <w:rPr>
          <w:rFonts w:cs="Arial"/>
          <w:sz w:val="22"/>
        </w:rPr>
        <w:t>The key difference being</w:t>
      </w:r>
      <w:r w:rsidRPr="00396AAD">
        <w:rPr>
          <w:rFonts w:cs="Arial"/>
          <w:sz w:val="22"/>
        </w:rPr>
        <w:t xml:space="preserve"> that following an occurrence, a ‘trigger point’</w:t>
      </w:r>
      <w:r w:rsidR="00D60452" w:rsidRPr="00396AAD">
        <w:rPr>
          <w:rFonts w:cs="Arial"/>
          <w:sz w:val="22"/>
        </w:rPr>
        <w:t>,</w:t>
      </w:r>
      <w:r w:rsidRPr="00396AAD">
        <w:rPr>
          <w:rFonts w:cs="Arial"/>
          <w:sz w:val="22"/>
        </w:rPr>
        <w:t xml:space="preserve"> be it</w:t>
      </w:r>
      <w:r w:rsidR="003E27CA" w:rsidRPr="00396AAD">
        <w:rPr>
          <w:rFonts w:cs="Arial"/>
          <w:sz w:val="22"/>
        </w:rPr>
        <w:t>;</w:t>
      </w:r>
      <w:r w:rsidRPr="00396AAD">
        <w:rPr>
          <w:rFonts w:cs="Arial"/>
          <w:sz w:val="22"/>
        </w:rPr>
        <w:t xml:space="preserve"> an illness</w:t>
      </w:r>
      <w:r w:rsidR="003E27CA" w:rsidRPr="00396AAD">
        <w:rPr>
          <w:rFonts w:cs="Arial"/>
          <w:sz w:val="22"/>
        </w:rPr>
        <w:t>;</w:t>
      </w:r>
      <w:r w:rsidRPr="00396AAD">
        <w:rPr>
          <w:rFonts w:cs="Arial"/>
          <w:sz w:val="22"/>
        </w:rPr>
        <w:t xml:space="preserve"> a fall</w:t>
      </w:r>
      <w:r w:rsidR="003E27CA" w:rsidRPr="00396AAD">
        <w:rPr>
          <w:rFonts w:cs="Arial"/>
          <w:sz w:val="22"/>
        </w:rPr>
        <w:t>;</w:t>
      </w:r>
      <w:r w:rsidRPr="00396AAD">
        <w:rPr>
          <w:rFonts w:cs="Arial"/>
          <w:sz w:val="22"/>
        </w:rPr>
        <w:t xml:space="preserve"> missing school</w:t>
      </w:r>
      <w:r w:rsidR="003E27CA" w:rsidRPr="00396AAD">
        <w:rPr>
          <w:rFonts w:cs="Arial"/>
          <w:sz w:val="22"/>
        </w:rPr>
        <w:t>;</w:t>
      </w:r>
      <w:r w:rsidRPr="00396AAD">
        <w:rPr>
          <w:rFonts w:cs="Arial"/>
          <w:sz w:val="22"/>
        </w:rPr>
        <w:t xml:space="preserve"> reaching a certain age</w:t>
      </w:r>
      <w:r w:rsidR="003E27CA" w:rsidRPr="00396AAD">
        <w:rPr>
          <w:rFonts w:cs="Arial"/>
          <w:sz w:val="22"/>
        </w:rPr>
        <w:t xml:space="preserve">; </w:t>
      </w:r>
      <w:r w:rsidRPr="00396AAD">
        <w:rPr>
          <w:rFonts w:cs="Arial"/>
          <w:sz w:val="22"/>
        </w:rPr>
        <w:t xml:space="preserve">results in the requirement (or the supposed requirement) of an intervention to take place. </w:t>
      </w:r>
    </w:p>
    <w:p w:rsidR="00455DFA" w:rsidRDefault="00455DFA" w:rsidP="00396AAD">
      <w:pPr>
        <w:autoSpaceDE w:val="0"/>
        <w:autoSpaceDN w:val="0"/>
        <w:adjustRightInd w:val="0"/>
        <w:spacing w:before="120" w:after="0"/>
        <w:ind w:left="-113"/>
        <w:jc w:val="both"/>
        <w:rPr>
          <w:rFonts w:cs="Arial"/>
          <w:sz w:val="22"/>
        </w:rPr>
      </w:pPr>
      <w:r w:rsidRPr="00396AAD">
        <w:rPr>
          <w:rFonts w:cs="Arial"/>
          <w:b/>
          <w:sz w:val="22"/>
        </w:rPr>
        <w:t>Different definition</w:t>
      </w:r>
      <w:r w:rsidR="00EA70B5" w:rsidRPr="00396AAD">
        <w:rPr>
          <w:rFonts w:cs="Arial"/>
          <w:b/>
          <w:sz w:val="22"/>
        </w:rPr>
        <w:t>s</w:t>
      </w:r>
      <w:r w:rsidRPr="00396AAD">
        <w:rPr>
          <w:rFonts w:cs="Arial"/>
          <w:b/>
          <w:sz w:val="22"/>
        </w:rPr>
        <w:t xml:space="preserve"> exist</w:t>
      </w:r>
      <w:r w:rsidRPr="00396AAD">
        <w:rPr>
          <w:rFonts w:cs="Arial"/>
          <w:sz w:val="22"/>
        </w:rPr>
        <w:t xml:space="preserve"> (Figure 1). The terms are often combined or </w:t>
      </w:r>
      <w:r w:rsidRPr="00396AAD">
        <w:rPr>
          <w:rFonts w:cs="Arial"/>
          <w:bCs/>
          <w:sz w:val="22"/>
        </w:rPr>
        <w:t>used interchangeably to r</w:t>
      </w:r>
      <w:r w:rsidRPr="00396AAD">
        <w:rPr>
          <w:rFonts w:cs="Arial"/>
          <w:sz w:val="22"/>
        </w:rPr>
        <w:t>efer to a focus on tackling the roots of social and medical</w:t>
      </w:r>
      <w:r w:rsidR="00A03D41">
        <w:rPr>
          <w:rFonts w:cs="Arial"/>
          <w:sz w:val="22"/>
        </w:rPr>
        <w:t>/health</w:t>
      </w:r>
      <w:r w:rsidRPr="00396AAD">
        <w:rPr>
          <w:rFonts w:cs="Arial"/>
          <w:sz w:val="22"/>
        </w:rPr>
        <w:t xml:space="preserve"> </w:t>
      </w:r>
      <w:r w:rsidR="00A03D41">
        <w:rPr>
          <w:rFonts w:cs="Arial"/>
          <w:sz w:val="22"/>
        </w:rPr>
        <w:t>‘</w:t>
      </w:r>
      <w:r w:rsidRPr="00396AAD">
        <w:rPr>
          <w:rFonts w:cs="Arial"/>
          <w:sz w:val="22"/>
        </w:rPr>
        <w:t>problems</w:t>
      </w:r>
      <w:r w:rsidR="00A03D41">
        <w:rPr>
          <w:rFonts w:cs="Arial"/>
          <w:sz w:val="22"/>
        </w:rPr>
        <w:t>’</w:t>
      </w:r>
      <w:r w:rsidRPr="00396AAD">
        <w:rPr>
          <w:rFonts w:cs="Arial"/>
          <w:sz w:val="22"/>
        </w:rPr>
        <w:t xml:space="preserve">, rather than treating their consequences. Often these </w:t>
      </w:r>
      <w:r w:rsidR="00341B65" w:rsidRPr="00396AAD">
        <w:rPr>
          <w:rFonts w:cs="Arial"/>
          <w:sz w:val="22"/>
        </w:rPr>
        <w:t>‘</w:t>
      </w:r>
      <w:r w:rsidRPr="00396AAD">
        <w:rPr>
          <w:rFonts w:cs="Arial"/>
          <w:sz w:val="22"/>
        </w:rPr>
        <w:t>models</w:t>
      </w:r>
      <w:r w:rsidR="00341B65" w:rsidRPr="00396AAD">
        <w:rPr>
          <w:rFonts w:cs="Arial"/>
          <w:sz w:val="22"/>
        </w:rPr>
        <w:t>’</w:t>
      </w:r>
      <w:r w:rsidRPr="00396AAD">
        <w:rPr>
          <w:rFonts w:cs="Arial"/>
          <w:sz w:val="22"/>
        </w:rPr>
        <w:t xml:space="preserve"> refer to levels</w:t>
      </w:r>
      <w:r w:rsidR="001B44B3" w:rsidRPr="00396AAD">
        <w:rPr>
          <w:rFonts w:cs="Arial"/>
          <w:sz w:val="22"/>
        </w:rPr>
        <w:t>,</w:t>
      </w:r>
      <w:r w:rsidRPr="00396AAD">
        <w:rPr>
          <w:rFonts w:cs="Arial"/>
          <w:sz w:val="22"/>
        </w:rPr>
        <w:t xml:space="preserve"> or layers</w:t>
      </w:r>
      <w:r w:rsidR="001B44B3" w:rsidRPr="00396AAD">
        <w:rPr>
          <w:rFonts w:cs="Arial"/>
          <w:sz w:val="22"/>
        </w:rPr>
        <w:t>,</w:t>
      </w:r>
      <w:r w:rsidRPr="00396AAD">
        <w:rPr>
          <w:rFonts w:cs="Arial"/>
          <w:sz w:val="22"/>
        </w:rPr>
        <w:t xml:space="preserve"> or us</w:t>
      </w:r>
      <w:r w:rsidR="001B44B3" w:rsidRPr="00396AAD">
        <w:rPr>
          <w:rFonts w:cs="Arial"/>
          <w:sz w:val="22"/>
        </w:rPr>
        <w:t>e</w:t>
      </w:r>
      <w:r w:rsidRPr="00396AAD">
        <w:rPr>
          <w:rFonts w:cs="Arial"/>
          <w:sz w:val="22"/>
        </w:rPr>
        <w:t xml:space="preserve"> analogies such as rivers (upstream/midstream/down-stream) and cliffs (up to the edge/over the edge, building a fence</w:t>
      </w:r>
      <w:r w:rsidR="00C745FF" w:rsidRPr="00396AAD">
        <w:rPr>
          <w:rStyle w:val="FootnoteReference"/>
          <w:rFonts w:cs="Arial"/>
          <w:sz w:val="22"/>
        </w:rPr>
        <w:footnoteReference w:id="3"/>
      </w:r>
      <w:r w:rsidRPr="00396AAD">
        <w:rPr>
          <w:rFonts w:cs="Arial"/>
          <w:sz w:val="22"/>
        </w:rPr>
        <w:t>) to highlight the trigger point.</w:t>
      </w:r>
    </w:p>
    <w:p w:rsidR="00396AAD" w:rsidRPr="00396AAD" w:rsidRDefault="00396AAD" w:rsidP="00396AAD">
      <w:pPr>
        <w:spacing w:before="240"/>
        <w:ind w:left="-113"/>
        <w:jc w:val="both"/>
        <w:rPr>
          <w:sz w:val="22"/>
        </w:rPr>
      </w:pPr>
      <w:r w:rsidRPr="00396AAD">
        <w:rPr>
          <w:sz w:val="22"/>
        </w:rPr>
        <w:t xml:space="preserve">Prevention activities are seen as enablers, promoting wellbeing, good health and independence. Whereas intervention activities are synonymous with ‘action’, targeted efforts to </w:t>
      </w:r>
      <w:proofErr w:type="gramStart"/>
      <w:r w:rsidRPr="00396AAD">
        <w:rPr>
          <w:sz w:val="22"/>
        </w:rPr>
        <w:t>respond,</w:t>
      </w:r>
      <w:proofErr w:type="gramEnd"/>
      <w:r w:rsidRPr="00396AAD">
        <w:rPr>
          <w:sz w:val="22"/>
        </w:rPr>
        <w:t xml:space="preserve"> halt/slow down and improve individual situations. Depending on the ‘trigger point’, the individual’s situation and the services in place</w:t>
      </w:r>
      <w:r w:rsidR="00A03D41">
        <w:rPr>
          <w:sz w:val="22"/>
        </w:rPr>
        <w:t>,</w:t>
      </w:r>
      <w:r w:rsidRPr="00396AAD">
        <w:rPr>
          <w:sz w:val="22"/>
        </w:rPr>
        <w:t xml:space="preserve"> these actions or interventions can be described as being on a continuum which ranges from early to late.</w:t>
      </w:r>
    </w:p>
    <w:p w:rsidR="00396AAD" w:rsidRDefault="00396AAD" w:rsidP="00396AAD">
      <w:pPr>
        <w:autoSpaceDE w:val="0"/>
        <w:autoSpaceDN w:val="0"/>
        <w:adjustRightInd w:val="0"/>
        <w:spacing w:before="120" w:after="0"/>
        <w:ind w:left="-113"/>
        <w:jc w:val="both"/>
        <w:rPr>
          <w:rFonts w:cs="Arial"/>
          <w:noProof/>
          <w:lang w:eastAsia="en-GB"/>
        </w:rPr>
      </w:pPr>
    </w:p>
    <w:p w:rsidR="003E19B4" w:rsidRDefault="001350E9" w:rsidP="00455DFA">
      <w:pPr>
        <w:autoSpaceDE w:val="0"/>
        <w:autoSpaceDN w:val="0"/>
        <w:adjustRightInd w:val="0"/>
        <w:spacing w:before="120" w:after="0"/>
        <w:rPr>
          <w:rFonts w:cs="Arial"/>
        </w:rPr>
      </w:pPr>
      <w:r w:rsidRPr="001350E9">
        <w:rPr>
          <w:noProof/>
          <w:lang w:eastAsia="en-GB"/>
        </w:rPr>
        <w:lastRenderedPageBreak/>
        <w:drawing>
          <wp:inline distT="0" distB="0" distL="0" distR="0">
            <wp:extent cx="6266515" cy="6781800"/>
            <wp:effectExtent l="19050" t="0" r="9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6266515" cy="6781800"/>
                    </a:xfrm>
                    <a:prstGeom prst="rect">
                      <a:avLst/>
                    </a:prstGeom>
                    <a:noFill/>
                    <a:ln w="9525">
                      <a:noFill/>
                      <a:miter lim="800000"/>
                      <a:headEnd/>
                      <a:tailEnd/>
                    </a:ln>
                  </pic:spPr>
                </pic:pic>
              </a:graphicData>
            </a:graphic>
          </wp:inline>
        </w:drawing>
      </w:r>
    </w:p>
    <w:p w:rsidR="00455DFA" w:rsidRDefault="00455DFA" w:rsidP="00A471C4">
      <w:pPr>
        <w:pStyle w:val="Heading1"/>
        <w:rPr>
          <w:rFonts w:eastAsia="Times New Roman"/>
          <w:lang w:val="en-US" w:eastAsia="en-GB"/>
        </w:rPr>
      </w:pPr>
      <w:r>
        <w:rPr>
          <w:rFonts w:eastAsia="Times New Roman"/>
          <w:lang w:val="en-US" w:eastAsia="en-GB"/>
        </w:rPr>
        <w:t>Population Need</w:t>
      </w:r>
    </w:p>
    <w:p w:rsidR="00956DB5" w:rsidRPr="00396AAD" w:rsidRDefault="00956DB5" w:rsidP="00396AAD">
      <w:pPr>
        <w:autoSpaceDE w:val="0"/>
        <w:autoSpaceDN w:val="0"/>
        <w:adjustRightInd w:val="0"/>
        <w:spacing w:before="120" w:after="0"/>
        <w:ind w:left="-113"/>
        <w:jc w:val="both"/>
        <w:rPr>
          <w:rFonts w:cs="Arial"/>
          <w:sz w:val="22"/>
        </w:rPr>
      </w:pPr>
      <w:r w:rsidRPr="00396AAD">
        <w:rPr>
          <w:rFonts w:eastAsia="Times New Roman" w:cs="Times New Roman"/>
          <w:sz w:val="22"/>
          <w:lang w:val="en-US" w:eastAsia="en-GB"/>
        </w:rPr>
        <w:t>The Early Intervention Foundations</w:t>
      </w:r>
      <w:r w:rsidRPr="00396AAD">
        <w:rPr>
          <w:rStyle w:val="FootnoteReference"/>
          <w:rFonts w:eastAsia="Times New Roman" w:cs="Times New Roman"/>
          <w:sz w:val="22"/>
          <w:lang w:val="en-US" w:eastAsia="en-GB"/>
        </w:rPr>
        <w:footnoteReference w:id="4"/>
      </w:r>
      <w:r w:rsidRPr="00396AAD">
        <w:rPr>
          <w:rFonts w:eastAsia="Times New Roman" w:cs="Times New Roman"/>
          <w:sz w:val="22"/>
          <w:lang w:val="en-US" w:eastAsia="en-GB"/>
        </w:rPr>
        <w:t xml:space="preserve"> emphasis is firmly on the child, with many reports focusing solely on children and young people. As such t</w:t>
      </w:r>
      <w:r w:rsidRPr="00396AAD">
        <w:rPr>
          <w:rFonts w:cs="Arial"/>
          <w:sz w:val="22"/>
        </w:rPr>
        <w:t>he term ‘early intervention’ is increasingly perceived in policy as referring only to the first five years of life</w:t>
      </w:r>
      <w:r w:rsidRPr="00396AAD">
        <w:rPr>
          <w:rStyle w:val="FootnoteReference"/>
          <w:rFonts w:cs="Arial"/>
          <w:sz w:val="22"/>
        </w:rPr>
        <w:footnoteReference w:id="5"/>
      </w:r>
      <w:r w:rsidRPr="00396AAD">
        <w:rPr>
          <w:rFonts w:cs="Arial"/>
          <w:sz w:val="22"/>
        </w:rPr>
        <w:t xml:space="preserve">. </w:t>
      </w:r>
    </w:p>
    <w:p w:rsidR="00455DFA" w:rsidRDefault="00455DFA" w:rsidP="00396AAD">
      <w:pPr>
        <w:autoSpaceDE w:val="0"/>
        <w:autoSpaceDN w:val="0"/>
        <w:adjustRightInd w:val="0"/>
        <w:spacing w:before="120" w:after="0"/>
        <w:ind w:left="-113"/>
        <w:jc w:val="both"/>
        <w:rPr>
          <w:rFonts w:cs="MyriadMM"/>
        </w:rPr>
      </w:pPr>
      <w:r w:rsidRPr="00396AAD">
        <w:rPr>
          <w:rFonts w:cs="Arial"/>
          <w:sz w:val="22"/>
        </w:rPr>
        <w:t xml:space="preserve">While </w:t>
      </w:r>
      <w:r w:rsidR="003D0F58" w:rsidRPr="00396AAD">
        <w:rPr>
          <w:rFonts w:cs="Arial"/>
          <w:sz w:val="22"/>
        </w:rPr>
        <w:t>there is</w:t>
      </w:r>
      <w:r w:rsidRPr="00396AAD">
        <w:rPr>
          <w:rFonts w:cs="Arial"/>
          <w:sz w:val="22"/>
        </w:rPr>
        <w:t xml:space="preserve"> greater potential to alter the trajectory</w:t>
      </w:r>
      <w:r w:rsidR="003D0F58" w:rsidRPr="00396AAD">
        <w:rPr>
          <w:rFonts w:cs="Arial"/>
          <w:sz w:val="22"/>
        </w:rPr>
        <w:t xml:space="preserve"> over a longer period</w:t>
      </w:r>
      <w:r w:rsidRPr="00396AAD">
        <w:rPr>
          <w:rFonts w:cs="Arial"/>
          <w:sz w:val="22"/>
        </w:rPr>
        <w:t xml:space="preserve"> in a younger person such emphasis can be unhelpful as </w:t>
      </w:r>
      <w:r w:rsidR="001B44B3" w:rsidRPr="00396AAD">
        <w:rPr>
          <w:rFonts w:cs="Arial"/>
          <w:sz w:val="22"/>
        </w:rPr>
        <w:t xml:space="preserve">early </w:t>
      </w:r>
      <w:r w:rsidRPr="00396AAD">
        <w:rPr>
          <w:rFonts w:cs="Arial"/>
          <w:sz w:val="22"/>
        </w:rPr>
        <w:t xml:space="preserve">interventions can be found at many points during the life course (Figure 2). </w:t>
      </w:r>
      <w:r w:rsidR="001B44B3" w:rsidRPr="00396AAD">
        <w:rPr>
          <w:rFonts w:cs="MyriadMM"/>
          <w:sz w:val="22"/>
        </w:rPr>
        <w:t>Where</w:t>
      </w:r>
      <w:r w:rsidRPr="00396AAD">
        <w:rPr>
          <w:rFonts w:cs="MyriadMM"/>
          <w:sz w:val="22"/>
        </w:rPr>
        <w:t xml:space="preserve"> intervention is referred to in the context of later life this more often relates to early intervention in acute </w:t>
      </w:r>
      <w:r w:rsidRPr="00396AAD">
        <w:rPr>
          <w:rFonts w:cs="MyriadMM"/>
          <w:sz w:val="22"/>
        </w:rPr>
        <w:lastRenderedPageBreak/>
        <w:t xml:space="preserve">situations </w:t>
      </w:r>
      <w:r w:rsidR="00570F51" w:rsidRPr="00396AAD">
        <w:rPr>
          <w:rFonts w:cs="MyriadMM"/>
          <w:sz w:val="22"/>
        </w:rPr>
        <w:t>i.e.</w:t>
      </w:r>
      <w:r w:rsidRPr="00396AAD">
        <w:rPr>
          <w:rFonts w:cs="MyriadMM"/>
          <w:sz w:val="22"/>
        </w:rPr>
        <w:t xml:space="preserve"> an acute ‘trigger’ has taken place, a hospitalisation due to an exacerbation of a chronic disease, falls, stroke or heart attack for example.   </w:t>
      </w:r>
    </w:p>
    <w:p w:rsidR="00455DFA" w:rsidRDefault="00455DFA" w:rsidP="00455DFA">
      <w:pPr>
        <w:autoSpaceDE w:val="0"/>
        <w:autoSpaceDN w:val="0"/>
        <w:adjustRightInd w:val="0"/>
        <w:spacing w:before="120" w:after="0"/>
        <w:jc w:val="both"/>
        <w:rPr>
          <w:rFonts w:eastAsia="Times New Roman" w:cs="Times New Roman"/>
          <w:lang w:val="en-US" w:eastAsia="en-GB"/>
        </w:rPr>
      </w:pPr>
      <w:r w:rsidRPr="00245440">
        <w:rPr>
          <w:noProof/>
          <w:lang w:eastAsia="en-GB"/>
        </w:rPr>
        <w:drawing>
          <wp:anchor distT="0" distB="0" distL="114300" distR="114300" simplePos="0" relativeHeight="251668480" behindDoc="0" locked="0" layoutInCell="1" allowOverlap="1">
            <wp:simplePos x="0" y="0"/>
            <wp:positionH relativeFrom="column">
              <wp:posOffset>450850</wp:posOffset>
            </wp:positionH>
            <wp:positionV relativeFrom="paragraph">
              <wp:posOffset>76835</wp:posOffset>
            </wp:positionV>
            <wp:extent cx="4422140" cy="4928235"/>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422140" cy="4928235"/>
                    </a:xfrm>
                    <a:prstGeom prst="rect">
                      <a:avLst/>
                    </a:prstGeom>
                    <a:noFill/>
                    <a:ln w="9525">
                      <a:noFill/>
                      <a:miter lim="800000"/>
                      <a:headEnd/>
                      <a:tailEnd/>
                    </a:ln>
                  </pic:spPr>
                </pic:pic>
              </a:graphicData>
            </a:graphic>
          </wp:anchor>
        </w:drawing>
      </w:r>
    </w:p>
    <w:p w:rsidR="00455DFA" w:rsidRDefault="00455DFA" w:rsidP="00455DFA">
      <w:pPr>
        <w:autoSpaceDE w:val="0"/>
        <w:autoSpaceDN w:val="0"/>
        <w:adjustRightInd w:val="0"/>
        <w:spacing w:before="120" w:after="0"/>
        <w:rPr>
          <w:rFonts w:eastAsia="Times New Roman" w:cs="Times New Roman"/>
          <w:lang w:val="en-US" w:eastAsia="en-GB"/>
        </w:rPr>
      </w:pPr>
    </w:p>
    <w:p w:rsidR="00455DFA" w:rsidRDefault="00455DFA" w:rsidP="001E1B96"/>
    <w:p w:rsidR="00455DFA" w:rsidRDefault="00455DFA" w:rsidP="001E1B96"/>
    <w:p w:rsidR="00455DFA" w:rsidRDefault="00455DFA" w:rsidP="001E1B96"/>
    <w:p w:rsidR="00455DFA" w:rsidRDefault="00455DFA" w:rsidP="001E1B96"/>
    <w:p w:rsidR="00455DFA" w:rsidRDefault="00455DFA" w:rsidP="001E1B96"/>
    <w:p w:rsidR="00455DFA" w:rsidRDefault="00455DFA" w:rsidP="001E1B96"/>
    <w:p w:rsidR="00455DFA" w:rsidRDefault="00455DFA" w:rsidP="001E1B96"/>
    <w:p w:rsidR="00455DFA" w:rsidRDefault="00455DFA" w:rsidP="001E1B96"/>
    <w:p w:rsidR="00455DFA" w:rsidRDefault="00455DFA" w:rsidP="001E1B96"/>
    <w:p w:rsidR="00455DFA" w:rsidRDefault="00455DFA" w:rsidP="001E1B96"/>
    <w:p w:rsidR="00455DFA" w:rsidRDefault="00455DFA" w:rsidP="001E1B96"/>
    <w:p w:rsidR="00455DFA" w:rsidRDefault="00455DFA" w:rsidP="001E1B96"/>
    <w:p w:rsidR="00455DFA" w:rsidRDefault="00455DFA" w:rsidP="001E1B96"/>
    <w:p w:rsidR="00455DFA" w:rsidRDefault="00455DFA" w:rsidP="001E1B96"/>
    <w:p w:rsidR="001E1B96" w:rsidRDefault="001E1B96" w:rsidP="001E1B96"/>
    <w:p w:rsidR="001E1B96" w:rsidRDefault="001E1B96" w:rsidP="001E1B96"/>
    <w:p w:rsidR="001E1B96" w:rsidRDefault="00F612FF" w:rsidP="00A471C4">
      <w:pPr>
        <w:pStyle w:val="Heading1"/>
      </w:pPr>
      <w:r>
        <w:t>Successful Intervention</w:t>
      </w:r>
      <w:r w:rsidR="009F6CD7">
        <w:t>s</w:t>
      </w:r>
    </w:p>
    <w:p w:rsidR="009F6CD7" w:rsidRPr="00396AAD" w:rsidRDefault="00993431" w:rsidP="00396AAD">
      <w:pPr>
        <w:autoSpaceDE w:val="0"/>
        <w:autoSpaceDN w:val="0"/>
        <w:adjustRightInd w:val="0"/>
        <w:ind w:left="-113"/>
        <w:jc w:val="both"/>
        <w:rPr>
          <w:sz w:val="22"/>
          <w:szCs w:val="24"/>
        </w:rPr>
      </w:pPr>
      <w:r w:rsidRPr="00396AAD">
        <w:rPr>
          <w:sz w:val="22"/>
          <w:szCs w:val="24"/>
        </w:rPr>
        <w:t xml:space="preserve">Example 1 </w:t>
      </w:r>
      <w:r w:rsidR="00B01C5D" w:rsidRPr="00396AAD">
        <w:rPr>
          <w:sz w:val="22"/>
          <w:szCs w:val="24"/>
        </w:rPr>
        <w:t xml:space="preserve">–The </w:t>
      </w:r>
      <w:r w:rsidR="00A03D41">
        <w:rPr>
          <w:sz w:val="22"/>
          <w:szCs w:val="24"/>
        </w:rPr>
        <w:t xml:space="preserve">annual </w:t>
      </w:r>
      <w:r w:rsidR="00B01C5D" w:rsidRPr="00396AAD">
        <w:rPr>
          <w:sz w:val="22"/>
          <w:szCs w:val="24"/>
        </w:rPr>
        <w:t xml:space="preserve">number of live births in Wales </w:t>
      </w:r>
      <w:r w:rsidR="001B44B3" w:rsidRPr="00396AAD">
        <w:rPr>
          <w:sz w:val="22"/>
          <w:szCs w:val="24"/>
        </w:rPr>
        <w:t xml:space="preserve">is </w:t>
      </w:r>
      <w:r w:rsidR="00B01C5D" w:rsidRPr="00396AAD">
        <w:rPr>
          <w:sz w:val="22"/>
          <w:szCs w:val="24"/>
        </w:rPr>
        <w:t>fairly consistent and there were 33 544 live births in 2014</w:t>
      </w:r>
      <w:r w:rsidR="00B01C5D" w:rsidRPr="00396AAD">
        <w:rPr>
          <w:rStyle w:val="FootnoteReference"/>
          <w:sz w:val="22"/>
          <w:szCs w:val="24"/>
        </w:rPr>
        <w:footnoteReference w:id="6"/>
      </w:r>
      <w:r w:rsidR="00B01C5D" w:rsidRPr="00396AAD">
        <w:rPr>
          <w:sz w:val="22"/>
          <w:szCs w:val="24"/>
        </w:rPr>
        <w:t xml:space="preserve">. </w:t>
      </w:r>
      <w:r w:rsidRPr="00396AAD">
        <w:rPr>
          <w:b/>
          <w:sz w:val="22"/>
          <w:szCs w:val="24"/>
        </w:rPr>
        <w:t>Folic acid supplementation</w:t>
      </w:r>
      <w:r w:rsidR="006E26C6" w:rsidRPr="00396AAD">
        <w:rPr>
          <w:b/>
          <w:sz w:val="22"/>
          <w:szCs w:val="24"/>
        </w:rPr>
        <w:t xml:space="preserve"> </w:t>
      </w:r>
      <w:r w:rsidR="006E26C6" w:rsidRPr="00396AAD">
        <w:rPr>
          <w:sz w:val="22"/>
          <w:szCs w:val="24"/>
        </w:rPr>
        <w:t xml:space="preserve">has been shown to </w:t>
      </w:r>
      <w:r w:rsidR="00EA70B5" w:rsidRPr="00396AAD">
        <w:rPr>
          <w:sz w:val="22"/>
          <w:szCs w:val="24"/>
        </w:rPr>
        <w:t>effectively reduce the risk of n</w:t>
      </w:r>
      <w:r w:rsidR="006E26C6" w:rsidRPr="00396AAD">
        <w:rPr>
          <w:sz w:val="22"/>
          <w:szCs w:val="24"/>
        </w:rPr>
        <w:t xml:space="preserve">eural tube defects (NTDs) and is recommended for women trying to conceive and during the first 12 weeks of pregnancy. </w:t>
      </w:r>
      <w:r w:rsidR="009F6CD7" w:rsidRPr="00396AAD">
        <w:rPr>
          <w:rFonts w:cs="AdvTT3713a231"/>
          <w:color w:val="131413"/>
          <w:sz w:val="22"/>
          <w:szCs w:val="24"/>
        </w:rPr>
        <w:t>NTDs</w:t>
      </w:r>
      <w:r w:rsidR="006E26C6" w:rsidRPr="00396AAD">
        <w:rPr>
          <w:rFonts w:cs="AdvTT3713a231"/>
          <w:color w:val="131413"/>
          <w:sz w:val="22"/>
          <w:szCs w:val="24"/>
        </w:rPr>
        <w:t xml:space="preserve"> are the </w:t>
      </w:r>
      <w:r w:rsidR="009F6CD7" w:rsidRPr="00396AAD">
        <w:rPr>
          <w:rFonts w:cs="AdvTT3713a231"/>
          <w:color w:val="131413"/>
          <w:sz w:val="22"/>
          <w:szCs w:val="24"/>
        </w:rPr>
        <w:t>second most common group of serious birth defects</w:t>
      </w:r>
      <w:r w:rsidR="006E26C6" w:rsidRPr="00396AAD">
        <w:rPr>
          <w:rFonts w:cs="AdvTT3713a231"/>
          <w:color w:val="131413"/>
          <w:sz w:val="22"/>
          <w:szCs w:val="24"/>
        </w:rPr>
        <w:t xml:space="preserve"> and the costs involved in providing folic acid intervention are far outweighed by the costs of NTDS to healthcare systems, various healthcare payers and to society more generally</w:t>
      </w:r>
      <w:r w:rsidR="005735B0" w:rsidRPr="00396AAD">
        <w:rPr>
          <w:rStyle w:val="FootnoteReference"/>
          <w:rFonts w:cs="AdvTT3713a231"/>
          <w:color w:val="131413"/>
          <w:sz w:val="22"/>
          <w:szCs w:val="24"/>
        </w:rPr>
        <w:footnoteReference w:id="7"/>
      </w:r>
      <w:r w:rsidR="006E26C6" w:rsidRPr="00396AAD">
        <w:rPr>
          <w:rFonts w:cs="AdvTT3713a231"/>
          <w:color w:val="131413"/>
          <w:sz w:val="22"/>
          <w:szCs w:val="24"/>
        </w:rPr>
        <w:t xml:space="preserve">. In addition the success of folic acid supplementation can be evaluated in a consistent and relatively short time frame associated with gestation.  </w:t>
      </w:r>
    </w:p>
    <w:p w:rsidR="00D31762" w:rsidRPr="00396AAD" w:rsidRDefault="00341B65" w:rsidP="00396AAD">
      <w:pPr>
        <w:pStyle w:val="Default"/>
        <w:spacing w:after="120" w:line="276" w:lineRule="auto"/>
        <w:ind w:left="-113"/>
        <w:jc w:val="both"/>
        <w:rPr>
          <w:rFonts w:asciiTheme="minorHAnsi" w:hAnsiTheme="minorHAnsi" w:cs="Frutiger LT Std 45 Light"/>
          <w:sz w:val="22"/>
        </w:rPr>
      </w:pPr>
      <w:r w:rsidRPr="00396AAD">
        <w:rPr>
          <w:rFonts w:asciiTheme="minorHAnsi" w:hAnsiTheme="minorHAnsi"/>
          <w:color w:val="auto"/>
          <w:sz w:val="22"/>
        </w:rPr>
        <w:t xml:space="preserve">Example 2 - </w:t>
      </w:r>
      <w:r w:rsidR="00D31762" w:rsidRPr="00396AAD">
        <w:rPr>
          <w:rFonts w:asciiTheme="minorHAnsi" w:hAnsiTheme="minorHAnsi"/>
          <w:color w:val="auto"/>
          <w:sz w:val="22"/>
        </w:rPr>
        <w:t xml:space="preserve">About </w:t>
      </w:r>
      <w:r w:rsidR="00FC23F8" w:rsidRPr="00396AAD">
        <w:rPr>
          <w:rFonts w:asciiTheme="minorHAnsi" w:hAnsiTheme="minorHAnsi"/>
          <w:color w:val="auto"/>
          <w:sz w:val="22"/>
        </w:rPr>
        <w:t>6</w:t>
      </w:r>
      <w:r w:rsidR="00D31762" w:rsidRPr="00396AAD">
        <w:rPr>
          <w:rFonts w:asciiTheme="minorHAnsi" w:hAnsiTheme="minorHAnsi"/>
          <w:color w:val="auto"/>
          <w:sz w:val="22"/>
        </w:rPr>
        <w:t xml:space="preserve">,000 people have a </w:t>
      </w:r>
      <w:r w:rsidR="00D31762" w:rsidRPr="00396AAD">
        <w:rPr>
          <w:rFonts w:asciiTheme="minorHAnsi" w:hAnsiTheme="minorHAnsi"/>
          <w:b/>
          <w:color w:val="auto"/>
          <w:sz w:val="22"/>
        </w:rPr>
        <w:t xml:space="preserve">stroke </w:t>
      </w:r>
      <w:r w:rsidR="00D31762" w:rsidRPr="00396AAD">
        <w:rPr>
          <w:rFonts w:asciiTheme="minorHAnsi" w:hAnsiTheme="minorHAnsi"/>
          <w:color w:val="auto"/>
          <w:sz w:val="22"/>
        </w:rPr>
        <w:t xml:space="preserve">each year in Wales, making it the fourth biggest health killer after cancer, heart disease and respiratory disease. </w:t>
      </w:r>
      <w:r w:rsidR="00D31762" w:rsidRPr="00396AAD">
        <w:rPr>
          <w:rFonts w:asciiTheme="minorHAnsi" w:hAnsiTheme="minorHAnsi" w:cs="Frutiger LT Std 45 Light"/>
          <w:color w:val="auto"/>
          <w:sz w:val="22"/>
        </w:rPr>
        <w:t>Thrombolysis is an effective ear</w:t>
      </w:r>
      <w:r w:rsidR="00D31762" w:rsidRPr="00396AAD">
        <w:rPr>
          <w:rFonts w:asciiTheme="minorHAnsi" w:hAnsiTheme="minorHAnsi" w:cs="Frutiger LT Std 45 Light"/>
          <w:sz w:val="22"/>
        </w:rPr>
        <w:t xml:space="preserve">ly intervention for patients suffering an ischaemic stroke providing it is given soon after the onset of symptoms. Evidence shows that the faster the drug is given to a patient the better their outcome will be. </w:t>
      </w:r>
      <w:r w:rsidR="006E26C6" w:rsidRPr="00396AAD">
        <w:rPr>
          <w:rFonts w:asciiTheme="minorHAnsi" w:hAnsiTheme="minorHAnsi"/>
          <w:sz w:val="22"/>
        </w:rPr>
        <w:t xml:space="preserve">In Wales </w:t>
      </w:r>
      <w:r w:rsidR="00D31762" w:rsidRPr="00396AAD">
        <w:rPr>
          <w:rFonts w:asciiTheme="minorHAnsi" w:hAnsiTheme="minorHAnsi"/>
          <w:sz w:val="22"/>
        </w:rPr>
        <w:t>t</w:t>
      </w:r>
      <w:r w:rsidR="00D31762" w:rsidRPr="00396AAD">
        <w:rPr>
          <w:rFonts w:asciiTheme="minorHAnsi" w:hAnsiTheme="minorHAnsi" w:cs="Frutiger LT Std 45 Light"/>
          <w:sz w:val="22"/>
        </w:rPr>
        <w:t xml:space="preserve">he percentage of patients being </w:t>
      </w:r>
      <w:r w:rsidR="00D31762" w:rsidRPr="00396AAD">
        <w:rPr>
          <w:rFonts w:asciiTheme="minorHAnsi" w:hAnsiTheme="minorHAnsi" w:cs="Frutiger LT Std 45 Light"/>
          <w:sz w:val="22"/>
        </w:rPr>
        <w:lastRenderedPageBreak/>
        <w:t>thrombolysed within one hour of arriving at the hospital has improved by over 50 patients, from 17% in 2012-13 to 26% in 2013-14</w:t>
      </w:r>
      <w:r w:rsidR="00D31762" w:rsidRPr="00396AAD">
        <w:rPr>
          <w:rStyle w:val="FootnoteReference"/>
          <w:rFonts w:asciiTheme="minorHAnsi" w:hAnsiTheme="minorHAnsi" w:cs="Frutiger LT Std 45 Light"/>
          <w:sz w:val="22"/>
        </w:rPr>
        <w:footnoteReference w:id="8"/>
      </w:r>
      <w:r w:rsidR="00D31762" w:rsidRPr="00396AAD">
        <w:rPr>
          <w:rFonts w:asciiTheme="minorHAnsi" w:hAnsiTheme="minorHAnsi" w:cs="Frutiger LT Std 45 Light"/>
          <w:sz w:val="22"/>
        </w:rPr>
        <w:t xml:space="preserve">. </w:t>
      </w:r>
    </w:p>
    <w:p w:rsidR="00553167" w:rsidRPr="00396AAD" w:rsidRDefault="00341B65" w:rsidP="00396AAD">
      <w:pPr>
        <w:autoSpaceDE w:val="0"/>
        <w:autoSpaceDN w:val="0"/>
        <w:adjustRightInd w:val="0"/>
        <w:ind w:left="-113"/>
        <w:jc w:val="both"/>
        <w:rPr>
          <w:rFonts w:cs="AdvP418B97"/>
          <w:sz w:val="22"/>
          <w:szCs w:val="24"/>
        </w:rPr>
      </w:pPr>
      <w:r w:rsidRPr="00396AAD">
        <w:rPr>
          <w:rFonts w:cs="AdvP418B97"/>
          <w:sz w:val="22"/>
          <w:szCs w:val="24"/>
        </w:rPr>
        <w:t xml:space="preserve">Example 3 - </w:t>
      </w:r>
      <w:r w:rsidR="00553167" w:rsidRPr="00396AAD">
        <w:rPr>
          <w:rFonts w:cs="AdvP418B97"/>
          <w:sz w:val="22"/>
          <w:szCs w:val="24"/>
        </w:rPr>
        <w:t xml:space="preserve">Approximately 1 million people in the UK sustain </w:t>
      </w:r>
      <w:r w:rsidR="00553167" w:rsidRPr="00396AAD">
        <w:rPr>
          <w:rFonts w:cs="AdvP418B97"/>
          <w:b/>
          <w:sz w:val="22"/>
          <w:szCs w:val="24"/>
        </w:rPr>
        <w:t>traumatic brain injury (TBI)</w:t>
      </w:r>
      <w:r w:rsidR="00553167" w:rsidRPr="00396AAD">
        <w:rPr>
          <w:rFonts w:cs="AdvP418B97"/>
          <w:sz w:val="22"/>
          <w:szCs w:val="24"/>
        </w:rPr>
        <w:t xml:space="preserve"> each year with resulting </w:t>
      </w:r>
      <w:r w:rsidR="00CC64D9" w:rsidRPr="00396AAD">
        <w:rPr>
          <w:rFonts w:cs="AdvP418B97"/>
          <w:sz w:val="22"/>
          <w:szCs w:val="24"/>
        </w:rPr>
        <w:t>societal,</w:t>
      </w:r>
      <w:r w:rsidR="00553167" w:rsidRPr="00396AAD">
        <w:rPr>
          <w:rFonts w:cs="AdvP418B97"/>
          <w:sz w:val="22"/>
          <w:szCs w:val="24"/>
        </w:rPr>
        <w:t xml:space="preserve"> </w:t>
      </w:r>
      <w:r w:rsidR="00CC64D9" w:rsidRPr="00396AAD">
        <w:rPr>
          <w:rFonts w:cs="AdvP418B97"/>
          <w:sz w:val="22"/>
          <w:szCs w:val="24"/>
        </w:rPr>
        <w:t xml:space="preserve">economy and individual </w:t>
      </w:r>
      <w:r w:rsidR="00553167" w:rsidRPr="00396AAD">
        <w:rPr>
          <w:rFonts w:cs="AdvP418B97"/>
          <w:sz w:val="22"/>
          <w:szCs w:val="24"/>
        </w:rPr>
        <w:t xml:space="preserve">cost. Despite </w:t>
      </w:r>
      <w:r w:rsidR="00CC64D9" w:rsidRPr="00396AAD">
        <w:rPr>
          <w:rFonts w:cs="AdvP418B97"/>
          <w:sz w:val="22"/>
          <w:szCs w:val="24"/>
        </w:rPr>
        <w:t>receiving a standard package of</w:t>
      </w:r>
      <w:r w:rsidR="00553167" w:rsidRPr="00396AAD">
        <w:rPr>
          <w:rFonts w:cs="AdvP418B97"/>
          <w:sz w:val="22"/>
          <w:szCs w:val="24"/>
        </w:rPr>
        <w:t xml:space="preserve"> care many people with TBI fail to </w:t>
      </w:r>
      <w:r w:rsidR="00CC64D9" w:rsidRPr="00396AAD">
        <w:rPr>
          <w:rFonts w:cs="AdvP418B97"/>
          <w:sz w:val="22"/>
          <w:szCs w:val="24"/>
        </w:rPr>
        <w:t>return</w:t>
      </w:r>
      <w:r w:rsidR="00553167" w:rsidRPr="00396AAD">
        <w:rPr>
          <w:rFonts w:cs="AdvP418B97"/>
          <w:sz w:val="22"/>
          <w:szCs w:val="24"/>
        </w:rPr>
        <w:t xml:space="preserve"> to the workplace. </w:t>
      </w:r>
      <w:r w:rsidR="00CC64D9" w:rsidRPr="00396AAD">
        <w:rPr>
          <w:rFonts w:cs="AdvP418B97"/>
          <w:sz w:val="22"/>
          <w:szCs w:val="24"/>
        </w:rPr>
        <w:t>Intervening</w:t>
      </w:r>
      <w:r w:rsidR="00553167" w:rsidRPr="00396AAD">
        <w:rPr>
          <w:rFonts w:cs="AdvP418B97"/>
          <w:sz w:val="22"/>
          <w:szCs w:val="24"/>
        </w:rPr>
        <w:t xml:space="preserve"> </w:t>
      </w:r>
      <w:r w:rsidR="00CC64D9" w:rsidRPr="00396AAD">
        <w:rPr>
          <w:rFonts w:cs="AdvP418B97"/>
          <w:sz w:val="22"/>
          <w:szCs w:val="24"/>
        </w:rPr>
        <w:t>early,</w:t>
      </w:r>
      <w:r w:rsidR="00553167" w:rsidRPr="00396AAD">
        <w:rPr>
          <w:rFonts w:cs="AdvP418B97"/>
          <w:sz w:val="22"/>
          <w:szCs w:val="24"/>
        </w:rPr>
        <w:t xml:space="preserve"> providing Vocational </w:t>
      </w:r>
      <w:r w:rsidR="00CC64D9" w:rsidRPr="00396AAD">
        <w:rPr>
          <w:rFonts w:cs="AdvP418B97"/>
          <w:sz w:val="22"/>
          <w:szCs w:val="24"/>
        </w:rPr>
        <w:t>rehabilitation</w:t>
      </w:r>
      <w:r w:rsidR="00553167" w:rsidRPr="00396AAD">
        <w:rPr>
          <w:rFonts w:cs="AdvP418B97"/>
          <w:sz w:val="22"/>
          <w:szCs w:val="24"/>
        </w:rPr>
        <w:t xml:space="preserve"> (whatever helps someone with a health problem return to</w:t>
      </w:r>
      <w:r w:rsidR="00CC64D9" w:rsidRPr="00396AAD">
        <w:rPr>
          <w:rFonts w:cs="AdvP418B97"/>
          <w:sz w:val="22"/>
          <w:szCs w:val="24"/>
        </w:rPr>
        <w:t xml:space="preserve"> </w:t>
      </w:r>
      <w:r w:rsidR="00553167" w:rsidRPr="00396AAD">
        <w:rPr>
          <w:rFonts w:cs="AdvP418B97"/>
          <w:sz w:val="22"/>
          <w:szCs w:val="24"/>
        </w:rPr>
        <w:t>or remain in work) in TBI cases</w:t>
      </w:r>
      <w:r w:rsidR="00CC64D9" w:rsidRPr="00396AAD">
        <w:rPr>
          <w:rFonts w:cs="AdvP418B97"/>
          <w:sz w:val="22"/>
          <w:szCs w:val="24"/>
        </w:rPr>
        <w:t>,</w:t>
      </w:r>
      <w:r w:rsidR="00553167" w:rsidRPr="00396AAD">
        <w:rPr>
          <w:rFonts w:cs="AdvP418B97"/>
          <w:sz w:val="22"/>
          <w:szCs w:val="24"/>
        </w:rPr>
        <w:t xml:space="preserve"> </w:t>
      </w:r>
      <w:r w:rsidR="00553167" w:rsidRPr="00396AAD">
        <w:rPr>
          <w:sz w:val="22"/>
          <w:szCs w:val="24"/>
        </w:rPr>
        <w:t> demonstrates an increased return to work (27% more of those with moderate/severe head injury; 15% more overall) compared t</w:t>
      </w:r>
      <w:r w:rsidR="00CC64D9" w:rsidRPr="00396AAD">
        <w:rPr>
          <w:sz w:val="22"/>
          <w:szCs w:val="24"/>
        </w:rPr>
        <w:t>o usual care provided</w:t>
      </w:r>
      <w:r w:rsidR="00CC64D9" w:rsidRPr="00396AAD">
        <w:rPr>
          <w:rStyle w:val="FootnoteReference"/>
          <w:sz w:val="22"/>
          <w:szCs w:val="24"/>
        </w:rPr>
        <w:footnoteReference w:id="9"/>
      </w:r>
      <w:r w:rsidR="00CC64D9" w:rsidRPr="00396AAD">
        <w:rPr>
          <w:sz w:val="22"/>
          <w:szCs w:val="24"/>
        </w:rPr>
        <w:t>.</w:t>
      </w:r>
      <w:r w:rsidR="00CC64D9" w:rsidRPr="00396AAD">
        <w:rPr>
          <w:rFonts w:cs="AdvP418B97"/>
          <w:sz w:val="22"/>
          <w:szCs w:val="24"/>
        </w:rPr>
        <w:t xml:space="preserve"> Returning TBI people to work by intervening in their acre not only has the potential for short-term impact on a person’s working life and ability to contribute to the economy, but also on their longer term health and well-being and that of family members.</w:t>
      </w:r>
    </w:p>
    <w:p w:rsidR="001350E9" w:rsidRPr="00396AAD" w:rsidRDefault="00341B65" w:rsidP="00396AAD">
      <w:pPr>
        <w:shd w:val="clear" w:color="auto" w:fill="FFFFFF"/>
        <w:ind w:left="-113"/>
        <w:jc w:val="both"/>
        <w:rPr>
          <w:rFonts w:eastAsia="Times New Roman"/>
          <w:color w:val="000000"/>
          <w:sz w:val="22"/>
          <w:szCs w:val="24"/>
        </w:rPr>
      </w:pPr>
      <w:r w:rsidRPr="00396AAD">
        <w:rPr>
          <w:rFonts w:cs="TradeGothic"/>
          <w:sz w:val="22"/>
          <w:szCs w:val="24"/>
        </w:rPr>
        <w:t>Exampl</w:t>
      </w:r>
      <w:r w:rsidR="00EA70B5" w:rsidRPr="00396AAD">
        <w:rPr>
          <w:rFonts w:cs="TradeGothic"/>
          <w:sz w:val="22"/>
          <w:szCs w:val="24"/>
        </w:rPr>
        <w:t>e</w:t>
      </w:r>
      <w:r w:rsidRPr="00396AAD">
        <w:rPr>
          <w:rFonts w:cs="TradeGothic"/>
          <w:sz w:val="22"/>
          <w:szCs w:val="24"/>
        </w:rPr>
        <w:t xml:space="preserve"> 4 - </w:t>
      </w:r>
      <w:r w:rsidR="001350E9" w:rsidRPr="00396AAD">
        <w:rPr>
          <w:rFonts w:cs="TradeGothic"/>
          <w:b/>
          <w:sz w:val="22"/>
          <w:szCs w:val="24"/>
        </w:rPr>
        <w:t>‘Invigor8’</w:t>
      </w:r>
      <w:r w:rsidR="001350E9" w:rsidRPr="00396AAD">
        <w:rPr>
          <w:rFonts w:cs="TradeGothic"/>
          <w:sz w:val="22"/>
          <w:szCs w:val="24"/>
        </w:rPr>
        <w:t xml:space="preserve"> is a community-based exercise intervention programme aimed at anyone aged 65 or over who is at risk from falls. Launched by Ayrshire and Arran NHS, in conjunction with Ayrshire Councils and Third Sector Leisure Services, provides community-based classes. This reports an overall r</w:t>
      </w:r>
      <w:r w:rsidR="001350E9" w:rsidRPr="00396AAD">
        <w:rPr>
          <w:rFonts w:eastAsia="Times New Roman"/>
          <w:color w:val="000000"/>
          <w:sz w:val="22"/>
          <w:szCs w:val="24"/>
        </w:rPr>
        <w:t>eduction in the risk of fal</w:t>
      </w:r>
      <w:r w:rsidR="00D065DC" w:rsidRPr="00396AAD">
        <w:rPr>
          <w:rFonts w:eastAsia="Times New Roman"/>
          <w:color w:val="000000"/>
          <w:sz w:val="22"/>
          <w:szCs w:val="24"/>
        </w:rPr>
        <w:t xml:space="preserve">ls, a reduced fear of falling, </w:t>
      </w:r>
      <w:r w:rsidR="001350E9" w:rsidRPr="00396AAD">
        <w:rPr>
          <w:rFonts w:eastAsia="Times New Roman"/>
          <w:color w:val="000000"/>
          <w:sz w:val="22"/>
          <w:szCs w:val="24"/>
        </w:rPr>
        <w:t>and increased physical activity and balance ability</w:t>
      </w:r>
      <w:r w:rsidR="001350E9" w:rsidRPr="00396AAD">
        <w:rPr>
          <w:rStyle w:val="FootnoteReference"/>
          <w:rFonts w:eastAsia="Times New Roman"/>
          <w:color w:val="000000"/>
          <w:sz w:val="22"/>
          <w:szCs w:val="24"/>
        </w:rPr>
        <w:footnoteReference w:id="10"/>
      </w:r>
      <w:r w:rsidR="001350E9" w:rsidRPr="00396AAD">
        <w:rPr>
          <w:rFonts w:eastAsia="Times New Roman"/>
          <w:color w:val="000000"/>
          <w:sz w:val="22"/>
          <w:szCs w:val="24"/>
        </w:rPr>
        <w:t>.</w:t>
      </w:r>
    </w:p>
    <w:p w:rsidR="00230D9B" w:rsidRPr="00396AAD" w:rsidRDefault="00B01C5D" w:rsidP="00396AAD">
      <w:pPr>
        <w:autoSpaceDE w:val="0"/>
        <w:autoSpaceDN w:val="0"/>
        <w:adjustRightInd w:val="0"/>
        <w:spacing w:after="0"/>
        <w:ind w:left="-113"/>
        <w:jc w:val="both"/>
        <w:rPr>
          <w:rFonts w:eastAsia="HelveticaNeue-H45" w:cs="HelveticaNeue-H45"/>
          <w:sz w:val="22"/>
          <w:szCs w:val="24"/>
        </w:rPr>
      </w:pPr>
      <w:r w:rsidRPr="00396AAD">
        <w:rPr>
          <w:rFonts w:eastAsia="Times New Roman"/>
          <w:color w:val="000000"/>
          <w:sz w:val="22"/>
          <w:szCs w:val="24"/>
        </w:rPr>
        <w:t xml:space="preserve">Example 5 </w:t>
      </w:r>
      <w:r w:rsidR="004A1A15" w:rsidRPr="00396AAD">
        <w:rPr>
          <w:rFonts w:eastAsia="Times New Roman"/>
          <w:color w:val="000000"/>
          <w:sz w:val="22"/>
          <w:szCs w:val="24"/>
        </w:rPr>
        <w:t xml:space="preserve">– </w:t>
      </w:r>
      <w:r w:rsidR="004A1A15" w:rsidRPr="00396AAD">
        <w:rPr>
          <w:rFonts w:eastAsia="HelveticaNeue-H45" w:cs="HelveticaNeue-H45"/>
          <w:sz w:val="22"/>
          <w:szCs w:val="24"/>
        </w:rPr>
        <w:t>In</w:t>
      </w:r>
      <w:r w:rsidR="00785794" w:rsidRPr="00396AAD">
        <w:rPr>
          <w:rFonts w:eastAsia="HelveticaNeue-H45" w:cs="HelveticaNeue-H45"/>
          <w:sz w:val="22"/>
          <w:szCs w:val="24"/>
        </w:rPr>
        <w:t xml:space="preserve"> Wales it is estimated that </w:t>
      </w:r>
      <w:r w:rsidR="00785794" w:rsidRPr="00396AAD">
        <w:rPr>
          <w:rFonts w:eastAsia="HelveticaNeue-H45" w:cs="HelveticaNeue-H75"/>
          <w:sz w:val="22"/>
          <w:szCs w:val="24"/>
        </w:rPr>
        <w:t>182,600 people have diabetes, w</w:t>
      </w:r>
      <w:r w:rsidR="00785794" w:rsidRPr="00396AAD">
        <w:rPr>
          <w:rFonts w:eastAsia="HelveticaNeue-H45" w:cs="HelveticaNeue-H45"/>
          <w:sz w:val="22"/>
          <w:szCs w:val="24"/>
        </w:rPr>
        <w:t>ith a further 70,000 people es</w:t>
      </w:r>
      <w:r w:rsidR="00230D9B" w:rsidRPr="00396AAD">
        <w:rPr>
          <w:rFonts w:eastAsia="HelveticaNeue-H45" w:cs="HelveticaNeue-H45"/>
          <w:sz w:val="22"/>
          <w:szCs w:val="24"/>
        </w:rPr>
        <w:t>timated to have Type 2 diabetes</w:t>
      </w:r>
      <w:r w:rsidR="00785794" w:rsidRPr="00396AAD">
        <w:rPr>
          <w:rFonts w:eastAsia="HelveticaNeue-H45" w:cs="HelveticaNeue-H45"/>
          <w:sz w:val="22"/>
          <w:szCs w:val="24"/>
        </w:rPr>
        <w:t xml:space="preserve"> but</w:t>
      </w:r>
      <w:r w:rsidR="00230D9B" w:rsidRPr="00396AAD">
        <w:rPr>
          <w:rFonts w:eastAsia="HelveticaNeue-H45" w:cs="HelveticaNeue-H45"/>
          <w:sz w:val="22"/>
          <w:szCs w:val="24"/>
        </w:rPr>
        <w:t xml:space="preserve"> </w:t>
      </w:r>
      <w:r w:rsidR="00A03D41">
        <w:rPr>
          <w:rFonts w:eastAsia="HelveticaNeue-H45" w:cs="HelveticaNeue-H45"/>
          <w:sz w:val="22"/>
          <w:szCs w:val="24"/>
        </w:rPr>
        <w:t xml:space="preserve">are </w:t>
      </w:r>
      <w:r w:rsidR="00230D9B" w:rsidRPr="00396AAD">
        <w:rPr>
          <w:rFonts w:eastAsia="HelveticaNeue-H45" w:cs="HelveticaNeue-H45"/>
          <w:sz w:val="22"/>
          <w:szCs w:val="24"/>
        </w:rPr>
        <w:t>undiagnosed</w:t>
      </w:r>
      <w:r w:rsidR="00785794" w:rsidRPr="00396AAD">
        <w:rPr>
          <w:rStyle w:val="FootnoteReference"/>
          <w:rFonts w:eastAsia="HelveticaNeue-H45" w:cs="HelveticaNeue-H45"/>
          <w:sz w:val="22"/>
          <w:szCs w:val="24"/>
        </w:rPr>
        <w:footnoteReference w:id="11"/>
      </w:r>
      <w:r w:rsidR="00F7549D" w:rsidRPr="00396AAD">
        <w:rPr>
          <w:rFonts w:eastAsia="HelveticaNeue-H45" w:cs="HelveticaNeue-H45"/>
          <w:sz w:val="22"/>
          <w:szCs w:val="24"/>
        </w:rPr>
        <w:t xml:space="preserve">. </w:t>
      </w:r>
      <w:r w:rsidR="00230D9B" w:rsidRPr="00396AAD">
        <w:rPr>
          <w:rFonts w:eastAsia="HelveticaNeue-H45" w:cs="HelveticaNeue-H45"/>
          <w:b/>
          <w:sz w:val="22"/>
          <w:szCs w:val="24"/>
        </w:rPr>
        <w:t>The Diabetic Retinopathy Screening Service Wales</w:t>
      </w:r>
      <w:r w:rsidR="00230D9B" w:rsidRPr="00396AAD">
        <w:rPr>
          <w:rFonts w:eastAsia="HelveticaNeue-H45" w:cs="HelveticaNeue-H45"/>
          <w:sz w:val="22"/>
          <w:szCs w:val="24"/>
        </w:rPr>
        <w:t xml:space="preserve"> works with all persons who have a confirmed diagnosis of diabetes to detect sight threatening diabetic retinopathy at an early</w:t>
      </w:r>
      <w:r w:rsidR="00F7549D" w:rsidRPr="00396AAD">
        <w:rPr>
          <w:rFonts w:eastAsia="HelveticaNeue-H45" w:cs="HelveticaNeue-H45"/>
          <w:sz w:val="22"/>
          <w:szCs w:val="24"/>
        </w:rPr>
        <w:t>,</w:t>
      </w:r>
      <w:r w:rsidR="00230D9B" w:rsidRPr="00396AAD">
        <w:rPr>
          <w:rFonts w:eastAsia="HelveticaNeue-H45" w:cs="HelveticaNeue-H45"/>
          <w:sz w:val="22"/>
          <w:szCs w:val="24"/>
        </w:rPr>
        <w:t xml:space="preserve"> ensuring early treatment and helping preventing loss of vision in 70-90% of people.</w:t>
      </w:r>
      <w:r w:rsidR="00C52652" w:rsidRPr="00396AAD">
        <w:rPr>
          <w:rFonts w:eastAsia="HelveticaNeue-H45" w:cs="HelveticaNeue-H45"/>
          <w:sz w:val="22"/>
          <w:szCs w:val="24"/>
        </w:rPr>
        <w:t xml:space="preserve"> </w:t>
      </w:r>
      <w:r w:rsidR="00230D9B" w:rsidRPr="00396AAD">
        <w:rPr>
          <w:rFonts w:eastAsia="HelveticaNeue-H45" w:cs="HelveticaNeue-H45"/>
          <w:sz w:val="22"/>
          <w:szCs w:val="24"/>
        </w:rPr>
        <w:t>All persons who have a confirmed diagnosis of diabetes should be referred to the service</w:t>
      </w:r>
      <w:r w:rsidR="004A1A15" w:rsidRPr="00396AAD">
        <w:rPr>
          <w:rFonts w:eastAsia="HelveticaNeue-H45" w:cs="HelveticaNeue-H45"/>
          <w:sz w:val="22"/>
          <w:szCs w:val="24"/>
        </w:rPr>
        <w:t xml:space="preserve"> and </w:t>
      </w:r>
      <w:r w:rsidR="00230D9B" w:rsidRPr="00396AAD">
        <w:rPr>
          <w:rFonts w:eastAsia="HelveticaNeue-H45" w:cs="HelveticaNeue-H45"/>
          <w:sz w:val="22"/>
          <w:szCs w:val="24"/>
        </w:rPr>
        <w:t>be invited for retinopathy screening with</w:t>
      </w:r>
      <w:r w:rsidR="004A1A15" w:rsidRPr="00396AAD">
        <w:rPr>
          <w:rFonts w:eastAsia="HelveticaNeue-H45" w:cs="HelveticaNeue-H45"/>
          <w:sz w:val="22"/>
          <w:szCs w:val="24"/>
        </w:rPr>
        <w:t>in 3 months of registration</w:t>
      </w:r>
      <w:r w:rsidR="00230D9B" w:rsidRPr="00396AAD">
        <w:rPr>
          <w:rStyle w:val="FootnoteReference"/>
          <w:rFonts w:eastAsia="HelveticaNeue-H45" w:cs="HelveticaNeue-H45"/>
          <w:sz w:val="22"/>
          <w:szCs w:val="24"/>
        </w:rPr>
        <w:footnoteReference w:id="12"/>
      </w:r>
      <w:r w:rsidR="00230D9B" w:rsidRPr="00396AAD">
        <w:rPr>
          <w:rFonts w:eastAsia="HelveticaNeue-H45" w:cs="HelveticaNeue-H45"/>
          <w:sz w:val="22"/>
          <w:szCs w:val="24"/>
        </w:rPr>
        <w:t>.</w:t>
      </w:r>
      <w:r w:rsidR="004A1A15" w:rsidRPr="00396AAD">
        <w:rPr>
          <w:rFonts w:eastAsia="HelveticaNeue-H45" w:cs="HelveticaNeue-H45"/>
          <w:sz w:val="22"/>
          <w:szCs w:val="24"/>
        </w:rPr>
        <w:t xml:space="preserve"> T</w:t>
      </w:r>
      <w:r w:rsidR="00230D9B" w:rsidRPr="00396AAD">
        <w:rPr>
          <w:rFonts w:eastAsia="HelveticaNeue-H45" w:cs="HelveticaNeue-H45"/>
          <w:sz w:val="22"/>
          <w:szCs w:val="24"/>
        </w:rPr>
        <w:t xml:space="preserve">he </w:t>
      </w:r>
      <w:r w:rsidR="004A1A15" w:rsidRPr="00396AAD">
        <w:rPr>
          <w:rFonts w:eastAsia="HelveticaNeue-H45" w:cs="HelveticaNeue-H45"/>
          <w:sz w:val="22"/>
          <w:szCs w:val="24"/>
        </w:rPr>
        <w:t xml:space="preserve">evidence base informing the </w:t>
      </w:r>
      <w:r w:rsidR="00230D9B" w:rsidRPr="00396AAD">
        <w:rPr>
          <w:rFonts w:eastAsia="HelveticaNeue-H45" w:cs="HelveticaNeue-H45"/>
          <w:sz w:val="22"/>
          <w:szCs w:val="24"/>
        </w:rPr>
        <w:t xml:space="preserve">interval between </w:t>
      </w:r>
      <w:r w:rsidR="004A1A15" w:rsidRPr="00396AAD">
        <w:rPr>
          <w:rFonts w:eastAsia="HelveticaNeue-H45" w:cs="HelveticaNeue-H45"/>
          <w:sz w:val="22"/>
          <w:szCs w:val="24"/>
        </w:rPr>
        <w:t>ongo</w:t>
      </w:r>
      <w:r w:rsidR="00741A68" w:rsidRPr="00396AAD">
        <w:rPr>
          <w:rFonts w:eastAsia="HelveticaNeue-H45" w:cs="HelveticaNeue-H45"/>
          <w:sz w:val="22"/>
          <w:szCs w:val="24"/>
        </w:rPr>
        <w:t xml:space="preserve">ing screenings </w:t>
      </w:r>
      <w:r w:rsidR="003D0F58" w:rsidRPr="00396AAD">
        <w:rPr>
          <w:rFonts w:eastAsia="HelveticaNeue-H45" w:cs="HelveticaNeue-H45"/>
          <w:sz w:val="22"/>
          <w:szCs w:val="24"/>
        </w:rPr>
        <w:t>prioritises individual</w:t>
      </w:r>
      <w:r w:rsidR="00741A68" w:rsidRPr="00396AAD">
        <w:rPr>
          <w:rFonts w:eastAsia="HelveticaNeue-H45" w:cs="HelveticaNeue-H45"/>
          <w:sz w:val="22"/>
          <w:szCs w:val="24"/>
        </w:rPr>
        <w:t xml:space="preserve"> </w:t>
      </w:r>
      <w:r w:rsidR="00230D9B" w:rsidRPr="00396AAD">
        <w:rPr>
          <w:rFonts w:eastAsia="HelveticaNeue-H45" w:cs="HelveticaNeue-H45"/>
          <w:sz w:val="22"/>
          <w:szCs w:val="24"/>
        </w:rPr>
        <w:t>diabetic risk</w:t>
      </w:r>
      <w:r w:rsidR="004A1A15" w:rsidRPr="00396AAD">
        <w:rPr>
          <w:rFonts w:eastAsia="HelveticaNeue-H45" w:cs="HelveticaNeue-H45"/>
          <w:sz w:val="22"/>
          <w:szCs w:val="24"/>
        </w:rPr>
        <w:t>, cost effectiveness and patient acceptance</w:t>
      </w:r>
      <w:r w:rsidR="004A1A15" w:rsidRPr="00396AAD">
        <w:rPr>
          <w:rStyle w:val="FootnoteReference"/>
          <w:rFonts w:eastAsia="HelveticaNeue-H45" w:cs="HelveticaNeue-H45"/>
          <w:sz w:val="22"/>
          <w:szCs w:val="24"/>
        </w:rPr>
        <w:footnoteReference w:id="13"/>
      </w:r>
      <w:r w:rsidR="004A1A15" w:rsidRPr="00396AAD">
        <w:rPr>
          <w:rStyle w:val="FootnoteReference"/>
          <w:rFonts w:eastAsia="HelveticaNeue-H45" w:cs="HelveticaNeue-H45"/>
          <w:sz w:val="22"/>
          <w:szCs w:val="24"/>
        </w:rPr>
        <w:footnoteReference w:id="14"/>
      </w:r>
      <w:r w:rsidR="003D0F58" w:rsidRPr="00396AAD">
        <w:rPr>
          <w:rFonts w:eastAsia="HelveticaNeue-H45" w:cs="HelveticaNeue-H45"/>
          <w:sz w:val="22"/>
          <w:szCs w:val="24"/>
        </w:rPr>
        <w:t>.</w:t>
      </w:r>
    </w:p>
    <w:p w:rsidR="00956DB5" w:rsidRDefault="00956DB5" w:rsidP="00956DB5">
      <w:pPr>
        <w:pStyle w:val="Heading1"/>
      </w:pPr>
      <w:r>
        <w:t>Inappropriate Intervention</w:t>
      </w:r>
    </w:p>
    <w:p w:rsidR="00956DB5" w:rsidRPr="00396AAD" w:rsidRDefault="00956DB5" w:rsidP="00396AAD">
      <w:pPr>
        <w:spacing w:before="120"/>
        <w:ind w:left="-113"/>
        <w:jc w:val="both"/>
        <w:rPr>
          <w:sz w:val="22"/>
        </w:rPr>
      </w:pPr>
      <w:r w:rsidRPr="00396AAD">
        <w:rPr>
          <w:sz w:val="22"/>
        </w:rPr>
        <w:t xml:space="preserve">The superiority of early effort and timely action as discussed above is a premise that is widely held but what if sometimes doing nothing was better than doing something? This may be because either an early intervention </w:t>
      </w:r>
      <w:r w:rsidR="006876F4" w:rsidRPr="00396AAD">
        <w:rPr>
          <w:sz w:val="22"/>
        </w:rPr>
        <w:t xml:space="preserve">may be shown to be ineffective, may result in harm or </w:t>
      </w:r>
      <w:r w:rsidRPr="00396AAD">
        <w:rPr>
          <w:sz w:val="22"/>
        </w:rPr>
        <w:t>not deemed cost effective</w:t>
      </w:r>
      <w:r w:rsidR="00C52652" w:rsidRPr="00396AAD">
        <w:rPr>
          <w:sz w:val="22"/>
        </w:rPr>
        <w:t>.</w:t>
      </w:r>
      <w:r w:rsidRPr="00396AAD">
        <w:rPr>
          <w:sz w:val="22"/>
        </w:rPr>
        <w:t xml:space="preserve"> </w:t>
      </w:r>
      <w:r w:rsidR="006876F4" w:rsidRPr="00396AAD">
        <w:rPr>
          <w:sz w:val="22"/>
        </w:rPr>
        <w:t xml:space="preserve"> All of these can be seen in practice, often as a result of the high expectations of both professionals and patients and sometimes irrespective of the evidence.</w:t>
      </w:r>
    </w:p>
    <w:p w:rsidR="00956DB5" w:rsidRPr="00396AAD" w:rsidRDefault="00956DB5" w:rsidP="00396AAD">
      <w:pPr>
        <w:spacing w:before="120"/>
        <w:ind w:left="-113"/>
        <w:jc w:val="both"/>
        <w:rPr>
          <w:rFonts w:cs="Arial"/>
          <w:sz w:val="22"/>
        </w:rPr>
      </w:pPr>
      <w:r w:rsidRPr="00396AAD">
        <w:rPr>
          <w:sz w:val="22"/>
        </w:rPr>
        <w:t>Complex interventions in social care can be difficult to accurately quantify</w:t>
      </w:r>
      <w:r w:rsidRPr="00396AAD">
        <w:rPr>
          <w:rStyle w:val="FootnoteReference"/>
          <w:sz w:val="22"/>
        </w:rPr>
        <w:footnoteReference w:id="15"/>
      </w:r>
      <w:r w:rsidRPr="00396AAD">
        <w:rPr>
          <w:sz w:val="22"/>
        </w:rPr>
        <w:t xml:space="preserve"> as their outcomes can be over prolonged periods of time compared to that seen in relatively short episodes such as Folic acid supplementation or acute clinical episode</w:t>
      </w:r>
      <w:r w:rsidR="00A03D41">
        <w:rPr>
          <w:sz w:val="22"/>
        </w:rPr>
        <w:t>s</w:t>
      </w:r>
      <w:r w:rsidRPr="00396AAD">
        <w:rPr>
          <w:sz w:val="22"/>
        </w:rPr>
        <w:t xml:space="preserve"> such as stroke. Interventions particularly those in public health can be </w:t>
      </w:r>
      <w:r w:rsidRPr="00396AAD">
        <w:rPr>
          <w:rFonts w:cs="Arial"/>
          <w:sz w:val="22"/>
        </w:rPr>
        <w:t>complex and programmatic which can make them difficult to evaluate</w:t>
      </w:r>
      <w:r w:rsidRPr="00396AAD">
        <w:rPr>
          <w:rStyle w:val="FootnoteReference"/>
          <w:rFonts w:cs="Arial"/>
          <w:sz w:val="22"/>
        </w:rPr>
        <w:footnoteReference w:id="16"/>
      </w:r>
      <w:r w:rsidRPr="00396AAD">
        <w:rPr>
          <w:rFonts w:cs="Arial"/>
          <w:sz w:val="22"/>
        </w:rPr>
        <w:t xml:space="preserve"> . Furthermore the timescales involved particularly in </w:t>
      </w:r>
      <w:r w:rsidRPr="00396AAD">
        <w:rPr>
          <w:rFonts w:cs="Arial"/>
          <w:sz w:val="22"/>
        </w:rPr>
        <w:lastRenderedPageBreak/>
        <w:t>interventions targeted in the younger years make it difficult to attach a definitive causative effect</w:t>
      </w:r>
      <w:r w:rsidR="00A03D41">
        <w:rPr>
          <w:rFonts w:cs="Arial"/>
          <w:sz w:val="22"/>
        </w:rPr>
        <w:t xml:space="preserve"> for example in later life</w:t>
      </w:r>
      <w:r w:rsidRPr="00396AAD">
        <w:rPr>
          <w:rFonts w:cs="Arial"/>
          <w:sz w:val="22"/>
        </w:rPr>
        <w:t>.</w:t>
      </w:r>
    </w:p>
    <w:p w:rsidR="00956DB5" w:rsidRPr="00396AAD" w:rsidRDefault="00956DB5" w:rsidP="00396AAD">
      <w:pPr>
        <w:spacing w:before="120"/>
        <w:ind w:left="-113"/>
        <w:jc w:val="both"/>
        <w:rPr>
          <w:rFonts w:cs="Arial"/>
          <w:sz w:val="22"/>
        </w:rPr>
      </w:pPr>
      <w:r w:rsidRPr="00396AAD">
        <w:rPr>
          <w:sz w:val="22"/>
        </w:rPr>
        <w:t>Some interventions that can show a beneficial outcome at an individual level may have wider unintended consequences that can be harmful at a population level. For example</w:t>
      </w:r>
      <w:r w:rsidR="006876F4" w:rsidRPr="00396AAD">
        <w:rPr>
          <w:sz w:val="22"/>
        </w:rPr>
        <w:t>,</w:t>
      </w:r>
      <w:r w:rsidRPr="00396AAD">
        <w:rPr>
          <w:sz w:val="22"/>
        </w:rPr>
        <w:t xml:space="preserve"> while </w:t>
      </w:r>
      <w:r w:rsidRPr="00396AAD">
        <w:rPr>
          <w:rFonts w:cs="Arial"/>
          <w:sz w:val="22"/>
        </w:rPr>
        <w:t xml:space="preserve">use of prophylactic antibiotics in COPD patients has been shown to reduce </w:t>
      </w:r>
      <w:r w:rsidR="00A03D41">
        <w:rPr>
          <w:rFonts w:cs="Arial"/>
          <w:sz w:val="22"/>
        </w:rPr>
        <w:t xml:space="preserve">disease </w:t>
      </w:r>
      <w:r w:rsidRPr="00396AAD">
        <w:rPr>
          <w:rFonts w:cs="Arial"/>
          <w:sz w:val="22"/>
        </w:rPr>
        <w:t xml:space="preserve">exacerbations </w:t>
      </w:r>
      <w:r w:rsidRPr="00396AAD">
        <w:rPr>
          <w:rStyle w:val="FootnoteReference"/>
          <w:rFonts w:cs="Arial"/>
          <w:sz w:val="22"/>
        </w:rPr>
        <w:footnoteReference w:id="17"/>
      </w:r>
      <w:r w:rsidRPr="00396AAD">
        <w:rPr>
          <w:rFonts w:cs="Arial"/>
          <w:sz w:val="22"/>
        </w:rPr>
        <w:t xml:space="preserve"> there is potential for more wide spread antibiotic use to negative</w:t>
      </w:r>
      <w:r w:rsidR="00A03D41">
        <w:rPr>
          <w:rFonts w:cs="Arial"/>
          <w:sz w:val="22"/>
        </w:rPr>
        <w:t>ly affect global antimicrobial</w:t>
      </w:r>
      <w:r w:rsidRPr="00396AAD">
        <w:rPr>
          <w:rFonts w:cs="Arial"/>
          <w:sz w:val="22"/>
        </w:rPr>
        <w:t xml:space="preserve"> resistance.</w:t>
      </w:r>
    </w:p>
    <w:p w:rsidR="00956DB5" w:rsidRPr="00396AAD" w:rsidRDefault="00956DB5" w:rsidP="00396AAD">
      <w:pPr>
        <w:widowControl w:val="0"/>
        <w:ind w:left="-113"/>
        <w:jc w:val="both"/>
        <w:rPr>
          <w:rFonts w:cs="Arial"/>
          <w:sz w:val="22"/>
          <w:szCs w:val="24"/>
        </w:rPr>
      </w:pPr>
      <w:r w:rsidRPr="00396AAD">
        <w:rPr>
          <w:rFonts w:cs="Arial"/>
          <w:sz w:val="22"/>
        </w:rPr>
        <w:t xml:space="preserve">There are also some examples of interventions with the potential to actively cause harm and/or distress to individuals within screening. </w:t>
      </w:r>
      <w:r w:rsidRPr="00396AAD">
        <w:rPr>
          <w:bCs/>
          <w:sz w:val="22"/>
        </w:rPr>
        <w:t>There is currently no screening programme for prostate cancer in the UK, because it has not been proven that the benefits would outweigh the risks</w:t>
      </w:r>
      <w:r w:rsidRPr="00396AAD">
        <w:rPr>
          <w:rStyle w:val="FootnoteReference"/>
          <w:rFonts w:cs="Arial"/>
          <w:sz w:val="22"/>
        </w:rPr>
        <w:footnoteReference w:id="18"/>
      </w:r>
      <w:r w:rsidRPr="00396AAD">
        <w:rPr>
          <w:rFonts w:cs="Arial"/>
          <w:sz w:val="22"/>
        </w:rPr>
        <w:t xml:space="preserve">. </w:t>
      </w:r>
      <w:r w:rsidRPr="00396AAD">
        <w:rPr>
          <w:sz w:val="22"/>
        </w:rPr>
        <w:t xml:space="preserve">In </w:t>
      </w:r>
      <w:r w:rsidRPr="00396AAD">
        <w:rPr>
          <w:sz w:val="22"/>
          <w:szCs w:val="24"/>
        </w:rPr>
        <w:t>addition side effects of the various treatments are potentially so serious that men may choose to delay treatment until absolutely necessary.</w:t>
      </w:r>
    </w:p>
    <w:p w:rsidR="00956DB5" w:rsidRPr="00396AAD" w:rsidRDefault="00956DB5" w:rsidP="00396AAD">
      <w:pPr>
        <w:autoSpaceDE w:val="0"/>
        <w:autoSpaceDN w:val="0"/>
        <w:adjustRightInd w:val="0"/>
        <w:spacing w:after="0"/>
        <w:ind w:left="-113"/>
        <w:jc w:val="both"/>
        <w:rPr>
          <w:rFonts w:cs="Arial"/>
          <w:sz w:val="22"/>
          <w:szCs w:val="24"/>
        </w:rPr>
      </w:pPr>
      <w:r w:rsidRPr="00396AAD">
        <w:rPr>
          <w:rFonts w:cs="Arial"/>
          <w:sz w:val="22"/>
          <w:szCs w:val="24"/>
        </w:rPr>
        <w:t>There are some questions regarding the efficacy of breast cancer screening which suggests t</w:t>
      </w:r>
      <w:r w:rsidRPr="00396AAD">
        <w:rPr>
          <w:rFonts w:cs="AdvTimes"/>
          <w:sz w:val="22"/>
          <w:szCs w:val="24"/>
        </w:rPr>
        <w:t>here is so much over diagnosis that the best thing a women can do to lower her risk of becoming a breast cancer patient is to avoid going to screening</w:t>
      </w:r>
      <w:r w:rsidRPr="00396AAD">
        <w:rPr>
          <w:rStyle w:val="FootnoteReference"/>
          <w:rFonts w:cs="AdvTimes"/>
          <w:sz w:val="22"/>
          <w:szCs w:val="24"/>
        </w:rPr>
        <w:footnoteReference w:id="19"/>
      </w:r>
      <w:r w:rsidRPr="00396AAD">
        <w:rPr>
          <w:rFonts w:cs="AdvTimes"/>
          <w:sz w:val="22"/>
          <w:szCs w:val="24"/>
        </w:rPr>
        <w:t xml:space="preserve">.  </w:t>
      </w:r>
      <w:r w:rsidRPr="00396AAD">
        <w:rPr>
          <w:rFonts w:cs="Arial"/>
          <w:sz w:val="22"/>
          <w:szCs w:val="24"/>
        </w:rPr>
        <w:t>There needs to be debate around the risk benefits of interventions around informed and engaged decision making based upon prudent principles.</w:t>
      </w:r>
    </w:p>
    <w:p w:rsidR="00455DFA" w:rsidRPr="00A14ED5" w:rsidRDefault="00BC2D60" w:rsidP="00A14ED5">
      <w:pPr>
        <w:pStyle w:val="Heading1"/>
        <w:rPr>
          <w:rFonts w:cs="Arial"/>
        </w:rPr>
      </w:pPr>
      <w:r>
        <w:t> </w:t>
      </w:r>
      <w:r w:rsidR="00455DFA">
        <w:t>Can Early Intervention be Prudent?</w:t>
      </w:r>
    </w:p>
    <w:p w:rsidR="00956DB5" w:rsidRPr="00396AAD" w:rsidRDefault="00956DB5" w:rsidP="00683422">
      <w:pPr>
        <w:pStyle w:val="Heading2"/>
        <w:rPr>
          <w:sz w:val="22"/>
        </w:rPr>
      </w:pPr>
      <w:r w:rsidRPr="00396AAD">
        <w:rPr>
          <w:sz w:val="22"/>
        </w:rPr>
        <w:t>Prudent Principle 1: Achieve health and well being with the public, patients and professionals as equal partners through co-production</w:t>
      </w:r>
    </w:p>
    <w:p w:rsidR="00956DB5" w:rsidRPr="00396AAD" w:rsidRDefault="00956DB5" w:rsidP="00683422">
      <w:pPr>
        <w:autoSpaceDE w:val="0"/>
        <w:autoSpaceDN w:val="0"/>
        <w:adjustRightInd w:val="0"/>
        <w:spacing w:before="120"/>
        <w:ind w:left="-113"/>
        <w:jc w:val="both"/>
        <w:rPr>
          <w:sz w:val="22"/>
        </w:rPr>
      </w:pPr>
      <w:r w:rsidRPr="00396AAD">
        <w:rPr>
          <w:sz w:val="22"/>
        </w:rPr>
        <w:t>Interventions are normally initiated by a ‘trigger’ which presupposes that the intended recipients are either victims or responsible, with such language seen as both reductive and discouraging</w:t>
      </w:r>
      <w:r w:rsidRPr="00396AAD">
        <w:rPr>
          <w:rStyle w:val="FootnoteReference"/>
          <w:sz w:val="22"/>
        </w:rPr>
        <w:footnoteReference w:id="20"/>
      </w:r>
      <w:r w:rsidRPr="00396AAD">
        <w:rPr>
          <w:sz w:val="22"/>
        </w:rPr>
        <w:t xml:space="preserve">. With individuals passively receiving such interventions, it can be difficult to see how such approaches can be seen as prudent. It would require greater dialogue and conversation between the recipients and professionals, explaining the reasoning and any pros and cons behind interventions to fully include patients in plans for their care. This clearly </w:t>
      </w:r>
      <w:r w:rsidR="000769EB" w:rsidRPr="00396AAD">
        <w:rPr>
          <w:sz w:val="22"/>
        </w:rPr>
        <w:t xml:space="preserve">points </w:t>
      </w:r>
      <w:r w:rsidRPr="00396AAD">
        <w:rPr>
          <w:sz w:val="22"/>
        </w:rPr>
        <w:t>to a more engaged an</w:t>
      </w:r>
      <w:r w:rsidR="00A03D41">
        <w:rPr>
          <w:sz w:val="22"/>
        </w:rPr>
        <w:t>d empowered approach through co-</w:t>
      </w:r>
      <w:r w:rsidRPr="00396AAD">
        <w:rPr>
          <w:sz w:val="22"/>
        </w:rPr>
        <w:t>production, where the public and the professionals are working together on a</w:t>
      </w:r>
      <w:r w:rsidR="000769EB" w:rsidRPr="00396AAD">
        <w:rPr>
          <w:sz w:val="22"/>
        </w:rPr>
        <w:t xml:space="preserve"> more</w:t>
      </w:r>
      <w:r w:rsidRPr="00396AAD">
        <w:rPr>
          <w:sz w:val="22"/>
        </w:rPr>
        <w:t xml:space="preserve"> equal foo</w:t>
      </w:r>
      <w:r w:rsidR="00C52652" w:rsidRPr="00396AAD">
        <w:rPr>
          <w:sz w:val="22"/>
        </w:rPr>
        <w:t>ting.</w:t>
      </w:r>
    </w:p>
    <w:p w:rsidR="00956DB5" w:rsidRPr="00396AAD" w:rsidRDefault="00956DB5" w:rsidP="00683422">
      <w:pPr>
        <w:pStyle w:val="Heading2"/>
        <w:rPr>
          <w:sz w:val="22"/>
        </w:rPr>
      </w:pPr>
      <w:r w:rsidRPr="00396AAD">
        <w:rPr>
          <w:sz w:val="22"/>
        </w:rPr>
        <w:t>Prudent Principle 2: Care for those with the greatest health need first, making most effective use of all skills and resources</w:t>
      </w:r>
    </w:p>
    <w:p w:rsidR="00956DB5" w:rsidRPr="00396AAD" w:rsidRDefault="00956DB5" w:rsidP="00683422">
      <w:pPr>
        <w:spacing w:before="120"/>
        <w:ind w:left="-113"/>
        <w:jc w:val="both"/>
        <w:rPr>
          <w:rFonts w:eastAsia="Times New Roman" w:cs="Times New Roman"/>
          <w:sz w:val="22"/>
          <w:lang w:eastAsia="en-GB"/>
        </w:rPr>
      </w:pPr>
      <w:r w:rsidRPr="00396AAD">
        <w:rPr>
          <w:rFonts w:eastAsia="Times New Roman" w:cs="Times New Roman"/>
          <w:sz w:val="22"/>
          <w:lang w:eastAsia="en-GB"/>
        </w:rPr>
        <w:t>Despite the frequent emphasis on early years, intervention and preventative services can be developed for use at all ages</w:t>
      </w:r>
      <w:r w:rsidR="00A03D41">
        <w:rPr>
          <w:rFonts w:eastAsia="Times New Roman" w:cs="Times New Roman"/>
          <w:sz w:val="22"/>
          <w:lang w:eastAsia="en-GB"/>
        </w:rPr>
        <w:t>, for</w:t>
      </w:r>
      <w:r w:rsidRPr="00396AAD">
        <w:rPr>
          <w:rFonts w:eastAsia="Times New Roman" w:cs="Times New Roman"/>
          <w:sz w:val="22"/>
          <w:lang w:eastAsia="en-GB"/>
        </w:rPr>
        <w:t xml:space="preserve"> those whose needs vary from the simplest to the most complex</w:t>
      </w:r>
      <w:r w:rsidR="000769EB" w:rsidRPr="00396AAD">
        <w:rPr>
          <w:rFonts w:eastAsia="Times New Roman" w:cs="Times New Roman"/>
          <w:sz w:val="22"/>
          <w:lang w:eastAsia="en-GB"/>
        </w:rPr>
        <w:t xml:space="preserve"> or </w:t>
      </w:r>
      <w:r w:rsidR="00C52652" w:rsidRPr="00396AAD">
        <w:rPr>
          <w:rFonts w:eastAsia="Times New Roman" w:cs="Times New Roman"/>
          <w:sz w:val="22"/>
          <w:lang w:eastAsia="en-GB"/>
        </w:rPr>
        <w:t>urgent</w:t>
      </w:r>
      <w:r w:rsidRPr="00396AAD">
        <w:rPr>
          <w:rFonts w:eastAsia="Times New Roman" w:cs="Times New Roman"/>
          <w:sz w:val="22"/>
          <w:lang w:eastAsia="en-GB"/>
        </w:rPr>
        <w:t xml:space="preserve">. The extent to which we target early intervention to those with the greatest need is difficult to assess, as opposed to intervening with those where it is easiest to do so. There is a </w:t>
      </w:r>
      <w:r w:rsidR="000769EB" w:rsidRPr="00396AAD">
        <w:rPr>
          <w:rFonts w:eastAsia="Times New Roman" w:cs="Times New Roman"/>
          <w:sz w:val="22"/>
          <w:lang w:eastAsia="en-GB"/>
        </w:rPr>
        <w:t xml:space="preserve">clear </w:t>
      </w:r>
      <w:r w:rsidRPr="00396AAD">
        <w:rPr>
          <w:rFonts w:eastAsia="Times New Roman" w:cs="Times New Roman"/>
          <w:sz w:val="22"/>
          <w:lang w:eastAsia="en-GB"/>
        </w:rPr>
        <w:t>tendency to treat according to lists without questioning the greatest need</w:t>
      </w:r>
      <w:r w:rsidR="000769EB" w:rsidRPr="00396AAD">
        <w:rPr>
          <w:rFonts w:eastAsia="Times New Roman" w:cs="Times New Roman"/>
          <w:sz w:val="22"/>
          <w:lang w:eastAsia="en-GB"/>
        </w:rPr>
        <w:t>, often consistent with the performance management processes in place</w:t>
      </w:r>
      <w:r w:rsidR="00D44509">
        <w:rPr>
          <w:rFonts w:eastAsia="Times New Roman" w:cs="Times New Roman"/>
          <w:sz w:val="22"/>
          <w:lang w:eastAsia="en-GB"/>
        </w:rPr>
        <w:t>.</w:t>
      </w:r>
      <w:r w:rsidR="000769EB" w:rsidRPr="00396AAD">
        <w:rPr>
          <w:rFonts w:eastAsia="Times New Roman" w:cs="Times New Roman"/>
          <w:sz w:val="22"/>
          <w:lang w:eastAsia="en-GB"/>
        </w:rPr>
        <w:t xml:space="preserve">  </w:t>
      </w:r>
      <w:r w:rsidRPr="00396AAD">
        <w:rPr>
          <w:rFonts w:eastAsia="Times New Roman" w:cs="Times New Roman"/>
          <w:sz w:val="22"/>
          <w:lang w:eastAsia="en-GB"/>
        </w:rPr>
        <w:t>More effective targeted intervention at high risk groups is needed</w:t>
      </w:r>
      <w:r w:rsidR="000769EB" w:rsidRPr="00396AAD">
        <w:rPr>
          <w:rFonts w:eastAsia="Times New Roman" w:cs="Times New Roman"/>
          <w:sz w:val="22"/>
          <w:lang w:eastAsia="en-GB"/>
        </w:rPr>
        <w:t>,</w:t>
      </w:r>
      <w:r w:rsidR="00C52652" w:rsidRPr="00396AAD">
        <w:rPr>
          <w:rFonts w:eastAsia="Times New Roman" w:cs="Times New Roman"/>
          <w:sz w:val="22"/>
          <w:lang w:eastAsia="en-GB"/>
        </w:rPr>
        <w:t xml:space="preserve"> </w:t>
      </w:r>
      <w:r w:rsidR="000769EB" w:rsidRPr="00396AAD">
        <w:rPr>
          <w:rFonts w:eastAsia="Times New Roman" w:cs="Times New Roman"/>
          <w:sz w:val="22"/>
          <w:lang w:eastAsia="en-GB"/>
        </w:rPr>
        <w:t>f</w:t>
      </w:r>
      <w:r w:rsidRPr="00396AAD">
        <w:rPr>
          <w:rFonts w:eastAsia="Times New Roman" w:cs="Times New Roman"/>
          <w:sz w:val="22"/>
          <w:lang w:eastAsia="en-GB"/>
        </w:rPr>
        <w:t xml:space="preserve">or example those who may have had an initial fall in more deprived areas or </w:t>
      </w:r>
      <w:r w:rsidR="000769EB" w:rsidRPr="00396AAD">
        <w:rPr>
          <w:rFonts w:eastAsia="Times New Roman" w:cs="Times New Roman"/>
          <w:sz w:val="22"/>
          <w:lang w:eastAsia="en-GB"/>
        </w:rPr>
        <w:t xml:space="preserve">those </w:t>
      </w:r>
      <w:r w:rsidRPr="00396AAD">
        <w:rPr>
          <w:rFonts w:eastAsia="Times New Roman" w:cs="Times New Roman"/>
          <w:sz w:val="22"/>
          <w:lang w:eastAsia="en-GB"/>
        </w:rPr>
        <w:t xml:space="preserve">with little or no support at home. There is also a need to consider how we might best use the skills and assets in our communities to work more prudently on early intervention. To what extent do we use of local community leaders or advocates to encourage and support take up for example flu injections or MMR. </w:t>
      </w:r>
    </w:p>
    <w:p w:rsidR="00956DB5" w:rsidRPr="00396AAD" w:rsidRDefault="00956DB5" w:rsidP="00956DB5">
      <w:pPr>
        <w:pStyle w:val="Heading2"/>
        <w:rPr>
          <w:sz w:val="22"/>
        </w:rPr>
      </w:pPr>
      <w:r w:rsidRPr="00396AAD">
        <w:rPr>
          <w:sz w:val="22"/>
        </w:rPr>
        <w:lastRenderedPageBreak/>
        <w:t>Prudent Principle 3: Do only what is needed, no more, no less; and do no harm</w:t>
      </w:r>
    </w:p>
    <w:p w:rsidR="00956DB5" w:rsidRPr="00396AAD" w:rsidRDefault="00956DB5" w:rsidP="00396AAD">
      <w:pPr>
        <w:ind w:left="-113"/>
        <w:jc w:val="both"/>
        <w:rPr>
          <w:sz w:val="22"/>
          <w:lang w:eastAsia="en-GB"/>
        </w:rPr>
      </w:pPr>
      <w:r w:rsidRPr="00396AAD">
        <w:rPr>
          <w:sz w:val="22"/>
          <w:lang w:eastAsia="en-GB"/>
        </w:rPr>
        <w:t>What level of evidence is needed to underpin early intervention activities? Despite it being a strongly held conviction by many, it does not appear that in every situation early intervention always produces better outcomes. This is an issue that should be more broadly discussed and debated in competing with other priorities which may have greater impact and value and cause less harm.</w:t>
      </w:r>
    </w:p>
    <w:p w:rsidR="00956DB5" w:rsidRPr="00396AAD" w:rsidRDefault="00956DB5" w:rsidP="00956DB5">
      <w:pPr>
        <w:pStyle w:val="Heading2"/>
        <w:rPr>
          <w:sz w:val="22"/>
        </w:rPr>
      </w:pPr>
      <w:r w:rsidRPr="00396AAD">
        <w:rPr>
          <w:sz w:val="22"/>
        </w:rPr>
        <w:t>Prudent Principle 4: Reduce inappropriate variation using evidence based practices consistently and transparently</w:t>
      </w:r>
    </w:p>
    <w:p w:rsidR="00956DB5" w:rsidRPr="00396AAD" w:rsidRDefault="00956DB5" w:rsidP="00396AAD">
      <w:pPr>
        <w:spacing w:before="120"/>
        <w:ind w:left="-113"/>
        <w:jc w:val="both"/>
        <w:rPr>
          <w:sz w:val="22"/>
        </w:rPr>
      </w:pPr>
      <w:r w:rsidRPr="00396AAD">
        <w:rPr>
          <w:sz w:val="22"/>
        </w:rPr>
        <w:t xml:space="preserve">There should be no excuse for unwarranted variation, particularly around early intervention where there is clear evidence and where the impact can be demonstrated.  Opportunities to more openly share information around this should be actively pursued to ensure that we give everyone across society the best chance of avoiding illness or disease wherever possible. </w:t>
      </w:r>
    </w:p>
    <w:p w:rsidR="00956DB5" w:rsidRPr="002D6E65" w:rsidRDefault="00956DB5" w:rsidP="00956DB5">
      <w:pPr>
        <w:pStyle w:val="Heading1"/>
      </w:pPr>
      <w:r>
        <w:t xml:space="preserve">In </w:t>
      </w:r>
      <w:r w:rsidRPr="005D2747">
        <w:t>Conclusion</w:t>
      </w:r>
      <w:r>
        <w:t xml:space="preserve"> </w:t>
      </w:r>
    </w:p>
    <w:p w:rsidR="00956DB5" w:rsidRPr="00396AAD" w:rsidRDefault="00956DB5" w:rsidP="00396AAD">
      <w:pPr>
        <w:spacing w:before="120"/>
        <w:ind w:left="-113"/>
        <w:jc w:val="both"/>
        <w:rPr>
          <w:rFonts w:cs="Arial"/>
          <w:sz w:val="22"/>
        </w:rPr>
      </w:pPr>
      <w:r w:rsidRPr="00396AAD">
        <w:rPr>
          <w:rFonts w:cs="Arial"/>
          <w:sz w:val="22"/>
        </w:rPr>
        <w:t xml:space="preserve">Early intervention can vary in definition, scope, timescale, target group and more importantly effectiveness. As such, no simple, single definition exists that can encapsulate its complexity. This paper has set out some of the issue around this and has highlighted that not all early interventions are indeed prudent or without harm. </w:t>
      </w:r>
    </w:p>
    <w:p w:rsidR="00956DB5" w:rsidRPr="00396AAD" w:rsidRDefault="00956DB5" w:rsidP="00396AAD">
      <w:pPr>
        <w:spacing w:before="120"/>
        <w:ind w:left="-113"/>
        <w:jc w:val="both"/>
        <w:rPr>
          <w:rFonts w:cs="Arial"/>
          <w:sz w:val="22"/>
        </w:rPr>
      </w:pPr>
      <w:r w:rsidRPr="00396AAD">
        <w:rPr>
          <w:rFonts w:cs="Arial"/>
          <w:sz w:val="22"/>
        </w:rPr>
        <w:t xml:space="preserve">There is a clear need for more open discussion and debate around early interventions at both local and national levels, with both individuals and the public. A prudent approach to early intervention should aim to enable recipients to have more active involvement in the decisions around their health care with greater dialogue, discussion and shared information. </w:t>
      </w:r>
    </w:p>
    <w:p w:rsidR="00956DB5" w:rsidRPr="00396AAD" w:rsidRDefault="00956DB5" w:rsidP="00396AAD">
      <w:pPr>
        <w:spacing w:before="120"/>
        <w:ind w:left="-113"/>
        <w:jc w:val="both"/>
        <w:rPr>
          <w:rFonts w:cs="Arial"/>
          <w:sz w:val="22"/>
        </w:rPr>
      </w:pPr>
      <w:r w:rsidRPr="00396AAD">
        <w:rPr>
          <w:rFonts w:cs="Arial"/>
          <w:sz w:val="22"/>
        </w:rPr>
        <w:t xml:space="preserve">We need to move away from the passive acceptance of early interventions towards a more prudent approach, where we continue to question whether </w:t>
      </w:r>
      <w:r w:rsidR="00D44509">
        <w:rPr>
          <w:rFonts w:cs="Arial"/>
          <w:sz w:val="22"/>
        </w:rPr>
        <w:t xml:space="preserve">proposed </w:t>
      </w:r>
      <w:r w:rsidRPr="00396AAD">
        <w:rPr>
          <w:rFonts w:cs="Arial"/>
          <w:sz w:val="22"/>
        </w:rPr>
        <w:t xml:space="preserve">interventions are too early or indeed too late and whether they are equally accessible by all. </w:t>
      </w:r>
      <w:r w:rsidR="000769EB" w:rsidRPr="00396AAD">
        <w:rPr>
          <w:rFonts w:cs="Arial"/>
          <w:sz w:val="22"/>
        </w:rPr>
        <w:t xml:space="preserve">We also need to ensure that </w:t>
      </w:r>
      <w:r w:rsidR="00F51C62" w:rsidRPr="00396AAD">
        <w:rPr>
          <w:rFonts w:cs="Arial"/>
          <w:sz w:val="22"/>
        </w:rPr>
        <w:t>there an aligned approach between practice, performance and outcome evaluation.</w:t>
      </w:r>
    </w:p>
    <w:p w:rsidR="00C65D7A" w:rsidRPr="00396AAD" w:rsidRDefault="00956DB5" w:rsidP="00396AAD">
      <w:pPr>
        <w:spacing w:before="120"/>
        <w:ind w:left="-113"/>
        <w:jc w:val="both"/>
        <w:rPr>
          <w:b/>
        </w:rPr>
      </w:pPr>
      <w:r w:rsidRPr="00396AAD">
        <w:rPr>
          <w:rFonts w:cs="Arial"/>
          <w:sz w:val="22"/>
        </w:rPr>
        <w:t>The prudent principles provide a framework that allows for greater challenge and transparency in determining the most prudent course of action</w:t>
      </w:r>
      <w:r w:rsidR="00F51C62" w:rsidRPr="00396AAD">
        <w:rPr>
          <w:rFonts w:cs="Arial"/>
          <w:sz w:val="22"/>
        </w:rPr>
        <w:t xml:space="preserve"> consistently</w:t>
      </w:r>
      <w:r w:rsidRPr="00396AAD">
        <w:rPr>
          <w:rFonts w:cs="Arial"/>
          <w:sz w:val="22"/>
        </w:rPr>
        <w:t xml:space="preserve"> – in this case early intervention. It offers the basis to fully consider the different types of early interventions and for the actions to be given a balanced and considered assessment with all those involved, to </w:t>
      </w:r>
      <w:r w:rsidR="00F51C62" w:rsidRPr="00396AAD">
        <w:rPr>
          <w:rFonts w:cs="Arial"/>
          <w:sz w:val="22"/>
        </w:rPr>
        <w:t xml:space="preserve">best </w:t>
      </w:r>
      <w:r w:rsidRPr="00396AAD">
        <w:rPr>
          <w:rFonts w:cs="Arial"/>
          <w:sz w:val="22"/>
        </w:rPr>
        <w:t xml:space="preserve">promote </w:t>
      </w:r>
      <w:r w:rsidR="00F51C62" w:rsidRPr="00396AAD">
        <w:rPr>
          <w:rFonts w:cs="Arial"/>
          <w:sz w:val="22"/>
        </w:rPr>
        <w:t xml:space="preserve">a prudent approach to </w:t>
      </w:r>
      <w:r w:rsidRPr="00396AAD">
        <w:rPr>
          <w:rFonts w:cs="Arial"/>
          <w:sz w:val="22"/>
        </w:rPr>
        <w:t>health and well being in Wales.</w:t>
      </w:r>
    </w:p>
    <w:p w:rsidR="00683422" w:rsidRPr="00396AAD" w:rsidRDefault="00683422">
      <w:pPr>
        <w:spacing w:before="120"/>
        <w:ind w:left="-113"/>
        <w:jc w:val="both"/>
        <w:rPr>
          <w:b/>
        </w:rPr>
      </w:pPr>
    </w:p>
    <w:sectPr w:rsidR="00683422" w:rsidRPr="00396AAD" w:rsidSect="00BD5D69">
      <w:pgSz w:w="11906" w:h="16838" w:code="9"/>
      <w:pgMar w:top="624" w:right="851" w:bottom="624" w:left="1134" w:header="709" w:footer="107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D41" w:rsidRDefault="00A03D41" w:rsidP="00AC4ED5">
      <w:pPr>
        <w:spacing w:after="0" w:line="240" w:lineRule="auto"/>
      </w:pPr>
      <w:r>
        <w:separator/>
      </w:r>
    </w:p>
  </w:endnote>
  <w:endnote w:type="continuationSeparator" w:id="0">
    <w:p w:rsidR="00A03D41" w:rsidRDefault="00A03D41" w:rsidP="00AC4E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MM">
    <w:panose1 w:val="00000000000000000000"/>
    <w:charset w:val="00"/>
    <w:family w:val="auto"/>
    <w:notTrueType/>
    <w:pitch w:val="default"/>
    <w:sig w:usb0="00000003" w:usb1="00000000" w:usb2="00000000" w:usb3="00000000" w:csb0="00000001" w:csb1="00000000"/>
  </w:font>
  <w:font w:name="AdvTT3713a231">
    <w:panose1 w:val="00000000000000000000"/>
    <w:charset w:val="00"/>
    <w:family w:val="roman"/>
    <w:notTrueType/>
    <w:pitch w:val="default"/>
    <w:sig w:usb0="00000003" w:usb1="00000000" w:usb2="00000000" w:usb3="00000000" w:csb0="00000001" w:csb1="00000000"/>
  </w:font>
  <w:font w:name="AdvTTe5c5f14d.B">
    <w:panose1 w:val="00000000000000000000"/>
    <w:charset w:val="00"/>
    <w:family w:val="roman"/>
    <w:notTrueType/>
    <w:pitch w:val="default"/>
    <w:sig w:usb0="00000003" w:usb1="00000000" w:usb2="00000000" w:usb3="00000000" w:csb0="00000001" w:csb1="00000000"/>
  </w:font>
  <w:font w:name="AdvTT3713a231+20">
    <w:panose1 w:val="00000000000000000000"/>
    <w:charset w:val="00"/>
    <w:family w:val="swiss"/>
    <w:notTrueType/>
    <w:pitch w:val="default"/>
    <w:sig w:usb0="00000003" w:usb1="00000000" w:usb2="00000000" w:usb3="00000000" w:csb0="00000001" w:csb1="00000000"/>
  </w:font>
  <w:font w:name="AdvP418B97">
    <w:panose1 w:val="00000000000000000000"/>
    <w:charset w:val="00"/>
    <w:family w:val="roman"/>
    <w:notTrueType/>
    <w:pitch w:val="default"/>
    <w:sig w:usb0="00000003" w:usb1="00000000" w:usb2="00000000" w:usb3="00000000" w:csb0="00000001" w:csb1="00000000"/>
  </w:font>
  <w:font w:name="AdvP101885">
    <w:panose1 w:val="00000000000000000000"/>
    <w:charset w:val="00"/>
    <w:family w:val="roman"/>
    <w:notTrueType/>
    <w:pitch w:val="default"/>
    <w:sig w:usb0="00000003" w:usb1="00000000" w:usb2="00000000" w:usb3="00000000" w:csb0="00000001" w:csb1="00000000"/>
  </w:font>
  <w:font w:name="AdvP101884">
    <w:panose1 w:val="00000000000000000000"/>
    <w:charset w:val="00"/>
    <w:family w:val="swiss"/>
    <w:notTrueType/>
    <w:pitch w:val="default"/>
    <w:sig w:usb0="00000003" w:usb1="00000000" w:usb2="00000000" w:usb3="00000000" w:csb0="00000001" w:csb1="00000000"/>
  </w:font>
  <w:font w:name="TradeGothic">
    <w:panose1 w:val="00000000000000000000"/>
    <w:charset w:val="00"/>
    <w:family w:val="swiss"/>
    <w:notTrueType/>
    <w:pitch w:val="default"/>
    <w:sig w:usb0="00000003" w:usb1="00000000" w:usb2="00000000" w:usb3="00000000" w:csb0="00000001" w:csb1="00000000"/>
  </w:font>
  <w:font w:name="HelveticaNeue-H45">
    <w:altName w:val="MS Mincho"/>
    <w:panose1 w:val="00000000000000000000"/>
    <w:charset w:val="80"/>
    <w:family w:val="auto"/>
    <w:notTrueType/>
    <w:pitch w:val="default"/>
    <w:sig w:usb0="00000000" w:usb1="08070000" w:usb2="00000010" w:usb3="00000000" w:csb0="00020000" w:csb1="00000000"/>
  </w:font>
  <w:font w:name="HelveticaNeue-H75">
    <w:panose1 w:val="00000000000000000000"/>
    <w:charset w:val="00"/>
    <w:family w:val="auto"/>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AdvP7D0F">
    <w:panose1 w:val="00000000000000000000"/>
    <w:charset w:val="00"/>
    <w:family w:val="swiss"/>
    <w:notTrueType/>
    <w:pitch w:val="default"/>
    <w:sig w:usb0="00000003" w:usb1="00000000" w:usb2="00000000" w:usb3="00000000" w:csb0="00000001" w:csb1="00000000"/>
  </w:font>
  <w:font w:name="AdvP7D09">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6101"/>
      <w:docPartObj>
        <w:docPartGallery w:val="Page Numbers (Bottom of Page)"/>
        <w:docPartUnique/>
      </w:docPartObj>
    </w:sdtPr>
    <w:sdtContent>
      <w:p w:rsidR="00A03D41" w:rsidRDefault="00DD0827">
        <w:pPr>
          <w:pStyle w:val="Footer"/>
          <w:jc w:val="right"/>
        </w:pPr>
        <w:fldSimple w:instr=" PAGE   \* MERGEFORMAT ">
          <w:r w:rsidR="00683422">
            <w:rPr>
              <w:noProof/>
            </w:rPr>
            <w:t>1</w:t>
          </w:r>
        </w:fldSimple>
      </w:p>
    </w:sdtContent>
  </w:sdt>
  <w:p w:rsidR="00A03D41" w:rsidRPr="007E09FE" w:rsidRDefault="007E09FE" w:rsidP="007E09FE">
    <w:pPr>
      <w:pStyle w:val="Footer"/>
      <w:jc w:val="center"/>
      <w:rPr>
        <w:sz w:val="22"/>
      </w:rPr>
    </w:pPr>
    <w:r w:rsidRPr="007E09FE">
      <w:rPr>
        <w:sz w:val="22"/>
      </w:rPr>
      <w:t>Early Intervention Discussion Paper March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D41" w:rsidRDefault="00A03D41" w:rsidP="00AC4ED5">
      <w:pPr>
        <w:spacing w:after="0" w:line="240" w:lineRule="auto"/>
      </w:pPr>
      <w:r>
        <w:separator/>
      </w:r>
    </w:p>
  </w:footnote>
  <w:footnote w:type="continuationSeparator" w:id="0">
    <w:p w:rsidR="00A03D41" w:rsidRDefault="00A03D41" w:rsidP="00AC4ED5">
      <w:pPr>
        <w:spacing w:after="0" w:line="240" w:lineRule="auto"/>
      </w:pPr>
      <w:r>
        <w:continuationSeparator/>
      </w:r>
    </w:p>
  </w:footnote>
  <w:footnote w:id="1">
    <w:p w:rsidR="00A03D41" w:rsidRPr="00B4469C" w:rsidRDefault="00A03D41" w:rsidP="00455DFA">
      <w:pPr>
        <w:autoSpaceDE w:val="0"/>
        <w:autoSpaceDN w:val="0"/>
        <w:adjustRightInd w:val="0"/>
        <w:spacing w:after="0" w:line="240" w:lineRule="auto"/>
        <w:contextualSpacing/>
        <w:rPr>
          <w:rFonts w:eastAsia="Times New Roman" w:cs="Times New Roman"/>
          <w:sz w:val="18"/>
          <w:szCs w:val="18"/>
          <w:lang w:val="en-US" w:eastAsia="en-GB"/>
        </w:rPr>
      </w:pPr>
      <w:r w:rsidRPr="00B4469C">
        <w:rPr>
          <w:rStyle w:val="FootnoteReference"/>
          <w:sz w:val="18"/>
          <w:szCs w:val="18"/>
        </w:rPr>
        <w:footnoteRef/>
      </w:r>
      <w:r w:rsidRPr="00B4469C">
        <w:rPr>
          <w:sz w:val="18"/>
          <w:szCs w:val="18"/>
        </w:rPr>
        <w:t xml:space="preserve"> </w:t>
      </w:r>
      <w:r w:rsidRPr="00B4469C">
        <w:rPr>
          <w:rFonts w:eastAsia="Times New Roman" w:cs="Times New Roman"/>
          <w:b/>
          <w:sz w:val="18"/>
          <w:szCs w:val="18"/>
          <w:lang w:val="en-US" w:eastAsia="en-GB"/>
        </w:rPr>
        <w:t xml:space="preserve">Deacon, S. (2011) </w:t>
      </w:r>
      <w:r w:rsidRPr="00B4469C">
        <w:rPr>
          <w:rFonts w:eastAsia="Times New Roman" w:cs="Times New Roman"/>
          <w:sz w:val="18"/>
          <w:szCs w:val="18"/>
          <w:lang w:val="en-US" w:eastAsia="en-GB"/>
        </w:rPr>
        <w:t xml:space="preserve">Joining the dots: A better starts for Scotland’s children. Scottish Government. </w:t>
      </w:r>
      <w:hyperlink r:id="rId1" w:history="1">
        <w:r w:rsidRPr="00B4469C">
          <w:rPr>
            <w:rStyle w:val="Hyperlink"/>
            <w:rFonts w:eastAsia="Times New Roman" w:cs="Times New Roman"/>
            <w:sz w:val="18"/>
            <w:szCs w:val="18"/>
            <w:lang w:val="en-US" w:eastAsia="en-GB"/>
          </w:rPr>
          <w:t>http://www.gov.scot/Resource/Doc/343337/0114216.pdf</w:t>
        </w:r>
      </w:hyperlink>
    </w:p>
  </w:footnote>
  <w:footnote w:id="2">
    <w:p w:rsidR="00A03D41" w:rsidRPr="00B4469C" w:rsidRDefault="00A03D41" w:rsidP="00EA70B5">
      <w:pPr>
        <w:autoSpaceDE w:val="0"/>
        <w:autoSpaceDN w:val="0"/>
        <w:adjustRightInd w:val="0"/>
        <w:spacing w:after="0" w:line="240" w:lineRule="auto"/>
        <w:contextualSpacing/>
        <w:rPr>
          <w:rFonts w:eastAsia="Times New Roman" w:cs="Arial"/>
          <w:i/>
          <w:iCs/>
          <w:color w:val="222222"/>
          <w:sz w:val="18"/>
          <w:szCs w:val="18"/>
          <w:lang w:eastAsia="en-GB"/>
        </w:rPr>
      </w:pPr>
      <w:r w:rsidRPr="00B4469C">
        <w:rPr>
          <w:rStyle w:val="FootnoteReference"/>
          <w:sz w:val="18"/>
          <w:szCs w:val="18"/>
        </w:rPr>
        <w:footnoteRef/>
      </w:r>
      <w:r w:rsidRPr="00B4469C">
        <w:rPr>
          <w:sz w:val="18"/>
          <w:szCs w:val="18"/>
        </w:rPr>
        <w:t xml:space="preserve"> </w:t>
      </w:r>
      <w:r w:rsidRPr="00B4469C">
        <w:rPr>
          <w:rFonts w:cs="Arial"/>
          <w:b/>
          <w:bCs/>
          <w:sz w:val="18"/>
          <w:szCs w:val="18"/>
        </w:rPr>
        <w:t xml:space="preserve">Plimmer D &amp; van Poortvliet M (2012) </w:t>
      </w:r>
      <w:r w:rsidRPr="00B4469C">
        <w:rPr>
          <w:rFonts w:cs="Arial"/>
          <w:b/>
          <w:bCs/>
          <w:color w:val="505050"/>
          <w:sz w:val="18"/>
          <w:szCs w:val="18"/>
        </w:rPr>
        <w:t xml:space="preserve">Prevention and early intervention Scoping study for the Big Lottery Fund. Available on line at </w:t>
      </w:r>
      <w:hyperlink r:id="rId2" w:history="1">
        <w:r w:rsidRPr="00B4469C">
          <w:rPr>
            <w:rStyle w:val="Hyperlink"/>
            <w:rFonts w:eastAsia="Times New Roman" w:cs="Arial"/>
            <w:i/>
            <w:iCs/>
            <w:sz w:val="18"/>
            <w:szCs w:val="18"/>
            <w:lang w:eastAsia="en-GB"/>
          </w:rPr>
          <w:t>https://www.biglotteryfund.org.uk/-/media/Files/Research%20Documents/er_prevention_early_intervention.pdf</w:t>
        </w:r>
      </w:hyperlink>
    </w:p>
  </w:footnote>
  <w:footnote w:id="3">
    <w:p w:rsidR="00A03D41" w:rsidRDefault="00A03D41">
      <w:pPr>
        <w:pStyle w:val="FootnoteText"/>
      </w:pPr>
      <w:r w:rsidRPr="00B4469C">
        <w:rPr>
          <w:rStyle w:val="FootnoteReference"/>
          <w:sz w:val="18"/>
          <w:szCs w:val="18"/>
        </w:rPr>
        <w:footnoteRef/>
      </w:r>
      <w:r w:rsidRPr="00B4469C">
        <w:rPr>
          <w:sz w:val="18"/>
          <w:szCs w:val="18"/>
        </w:rPr>
        <w:t xml:space="preserve"> </w:t>
      </w:r>
      <w:r w:rsidRPr="00B4469C">
        <w:rPr>
          <w:b/>
          <w:sz w:val="18"/>
          <w:szCs w:val="18"/>
        </w:rPr>
        <w:t>Early Intervention Task Force (2011)</w:t>
      </w:r>
      <w:r w:rsidRPr="00B4469C">
        <w:rPr>
          <w:sz w:val="18"/>
          <w:szCs w:val="18"/>
        </w:rPr>
        <w:t xml:space="preserve"> The Triple Dividend: Thriving lives, Costing Less, Contribu</w:t>
      </w:r>
      <w:r>
        <w:rPr>
          <w:sz w:val="18"/>
          <w:szCs w:val="18"/>
        </w:rPr>
        <w:t xml:space="preserve">ting more:  </w:t>
      </w:r>
      <w:hyperlink r:id="rId3" w:history="1">
        <w:r w:rsidRPr="00B4469C">
          <w:rPr>
            <w:rStyle w:val="Hyperlink"/>
            <w:sz w:val="18"/>
            <w:szCs w:val="18"/>
          </w:rPr>
          <w:t>http://www.community-links.org/uploads/documents/Triple_Dividend.pdf</w:t>
        </w:r>
      </w:hyperlink>
    </w:p>
  </w:footnote>
  <w:footnote w:id="4">
    <w:p w:rsidR="00A03D41" w:rsidRPr="00B4469C" w:rsidRDefault="00A03D41" w:rsidP="00956DB5">
      <w:pPr>
        <w:autoSpaceDE w:val="0"/>
        <w:autoSpaceDN w:val="0"/>
        <w:adjustRightInd w:val="0"/>
        <w:spacing w:after="0" w:line="240" w:lineRule="auto"/>
        <w:rPr>
          <w:rFonts w:eastAsia="Times New Roman" w:cs="Times New Roman"/>
          <w:b/>
          <w:sz w:val="18"/>
          <w:szCs w:val="18"/>
          <w:lang w:val="en-US" w:eastAsia="en-GB"/>
        </w:rPr>
      </w:pPr>
      <w:r w:rsidRPr="00B4469C">
        <w:rPr>
          <w:rStyle w:val="FootnoteReference"/>
          <w:sz w:val="18"/>
          <w:szCs w:val="18"/>
        </w:rPr>
        <w:footnoteRef/>
      </w:r>
      <w:r w:rsidRPr="00B4469C">
        <w:rPr>
          <w:sz w:val="18"/>
          <w:szCs w:val="18"/>
        </w:rPr>
        <w:t xml:space="preserve"> </w:t>
      </w:r>
      <w:r w:rsidRPr="00B4469C">
        <w:rPr>
          <w:rFonts w:eastAsia="Times New Roman" w:cs="Times New Roman"/>
          <w:b/>
          <w:sz w:val="18"/>
          <w:szCs w:val="18"/>
          <w:lang w:val="en-US" w:eastAsia="en-GB"/>
        </w:rPr>
        <w:t xml:space="preserve">Early Intervention Foundation </w:t>
      </w:r>
      <w:hyperlink r:id="rId4" w:history="1">
        <w:r w:rsidRPr="00B4469C">
          <w:rPr>
            <w:rStyle w:val="Hyperlink"/>
            <w:rFonts w:eastAsia="Times New Roman" w:cs="Times New Roman"/>
            <w:b/>
            <w:sz w:val="18"/>
            <w:szCs w:val="18"/>
            <w:lang w:val="en-US" w:eastAsia="en-GB"/>
          </w:rPr>
          <w:t>http://www.eif.org.uk/what-is-ei/</w:t>
        </w:r>
      </w:hyperlink>
    </w:p>
  </w:footnote>
  <w:footnote w:id="5">
    <w:p w:rsidR="00A03D41" w:rsidRPr="005735B0" w:rsidRDefault="00A03D41" w:rsidP="00956DB5">
      <w:pPr>
        <w:autoSpaceDE w:val="0"/>
        <w:autoSpaceDN w:val="0"/>
        <w:adjustRightInd w:val="0"/>
        <w:spacing w:after="0" w:line="240" w:lineRule="auto"/>
        <w:contextualSpacing/>
        <w:rPr>
          <w:rFonts w:eastAsia="Times New Roman" w:cs="Arial"/>
          <w:i/>
          <w:iCs/>
          <w:color w:val="222222"/>
          <w:sz w:val="18"/>
          <w:szCs w:val="18"/>
          <w:lang w:eastAsia="en-GB"/>
        </w:rPr>
      </w:pPr>
      <w:r w:rsidRPr="00B4469C">
        <w:rPr>
          <w:rStyle w:val="FootnoteReference"/>
          <w:sz w:val="18"/>
          <w:szCs w:val="18"/>
        </w:rPr>
        <w:footnoteRef/>
      </w:r>
      <w:r w:rsidRPr="00B4469C">
        <w:rPr>
          <w:sz w:val="18"/>
          <w:szCs w:val="18"/>
        </w:rPr>
        <w:t xml:space="preserve"> </w:t>
      </w:r>
      <w:r w:rsidRPr="00B4469C">
        <w:rPr>
          <w:rFonts w:cs="Arial"/>
          <w:b/>
          <w:bCs/>
          <w:sz w:val="18"/>
          <w:szCs w:val="18"/>
        </w:rPr>
        <w:t xml:space="preserve">Plimmer D &amp; van Poortvliet M (2012) </w:t>
      </w:r>
      <w:r w:rsidRPr="00B4469C">
        <w:rPr>
          <w:rFonts w:cs="Arial"/>
          <w:b/>
          <w:bCs/>
          <w:color w:val="505050"/>
          <w:sz w:val="18"/>
          <w:szCs w:val="18"/>
        </w:rPr>
        <w:t xml:space="preserve">Prevention and early intervention Scoping study for the Big Lottery Fund. Available on line at </w:t>
      </w:r>
      <w:hyperlink r:id="rId5" w:history="1">
        <w:r w:rsidRPr="00B4469C">
          <w:rPr>
            <w:rStyle w:val="Hyperlink"/>
            <w:rFonts w:eastAsia="Times New Roman" w:cs="Arial"/>
            <w:i/>
            <w:iCs/>
            <w:sz w:val="18"/>
            <w:szCs w:val="18"/>
            <w:lang w:eastAsia="en-GB"/>
          </w:rPr>
          <w:t>https://www.biglotteryfund.org.uk/-/media/Files/Research%20Documents/er_prevention_early_intervention.pdf</w:t>
        </w:r>
      </w:hyperlink>
    </w:p>
  </w:footnote>
  <w:footnote w:id="6">
    <w:p w:rsidR="00A03D41" w:rsidRPr="004A1A15" w:rsidRDefault="00A03D41">
      <w:pPr>
        <w:pStyle w:val="FootnoteText"/>
        <w:rPr>
          <w:rFonts w:cs="Arial"/>
          <w:bCs/>
          <w:color w:val="000000"/>
          <w:kern w:val="36"/>
          <w:sz w:val="18"/>
          <w:szCs w:val="18"/>
        </w:rPr>
      </w:pPr>
      <w:r w:rsidRPr="004A1A15">
        <w:rPr>
          <w:rStyle w:val="FootnoteReference"/>
          <w:sz w:val="18"/>
          <w:szCs w:val="18"/>
        </w:rPr>
        <w:footnoteRef/>
      </w:r>
      <w:r w:rsidRPr="004A1A15">
        <w:rPr>
          <w:sz w:val="18"/>
          <w:szCs w:val="18"/>
        </w:rPr>
        <w:t xml:space="preserve"> </w:t>
      </w:r>
      <w:r w:rsidRPr="00F7549D">
        <w:rPr>
          <w:b/>
          <w:sz w:val="18"/>
          <w:szCs w:val="18"/>
        </w:rPr>
        <w:t>O</w:t>
      </w:r>
      <w:r>
        <w:rPr>
          <w:b/>
          <w:sz w:val="18"/>
          <w:szCs w:val="18"/>
        </w:rPr>
        <w:t>f</w:t>
      </w:r>
      <w:r w:rsidRPr="00F7549D">
        <w:rPr>
          <w:b/>
          <w:sz w:val="18"/>
          <w:szCs w:val="18"/>
        </w:rPr>
        <w:t xml:space="preserve">fice National </w:t>
      </w:r>
      <w:r>
        <w:rPr>
          <w:b/>
          <w:sz w:val="18"/>
          <w:szCs w:val="18"/>
        </w:rPr>
        <w:t>S</w:t>
      </w:r>
      <w:r w:rsidRPr="00F7549D">
        <w:rPr>
          <w:b/>
          <w:sz w:val="18"/>
          <w:szCs w:val="18"/>
        </w:rPr>
        <w:t>tatistics (2015)</w:t>
      </w:r>
      <w:r>
        <w:rPr>
          <w:b/>
          <w:sz w:val="18"/>
          <w:szCs w:val="18"/>
        </w:rPr>
        <w:t xml:space="preserve"> </w:t>
      </w:r>
      <w:r w:rsidRPr="004A1A15">
        <w:rPr>
          <w:rFonts w:cs="Arial"/>
          <w:bCs/>
          <w:color w:val="000000"/>
          <w:kern w:val="36"/>
          <w:sz w:val="18"/>
          <w:szCs w:val="18"/>
        </w:rPr>
        <w:t xml:space="preserve">Birth Summary tables, England and Wales, 2014 </w:t>
      </w:r>
      <w:hyperlink r:id="rId6" w:history="1">
        <w:r w:rsidRPr="004A1A15">
          <w:rPr>
            <w:rStyle w:val="Hyperlink"/>
            <w:rFonts w:cs="Arial"/>
            <w:bCs/>
            <w:kern w:val="36"/>
            <w:sz w:val="18"/>
            <w:szCs w:val="18"/>
          </w:rPr>
          <w:t>http://www.ons.gov.uk/ons/publications/re-reference-tables.html?edition=tcm%3A77-370345</w:t>
        </w:r>
      </w:hyperlink>
      <w:r w:rsidRPr="004A1A15">
        <w:rPr>
          <w:rFonts w:cs="Arial"/>
          <w:bCs/>
          <w:color w:val="000000"/>
          <w:kern w:val="36"/>
          <w:sz w:val="18"/>
          <w:szCs w:val="18"/>
        </w:rPr>
        <w:t xml:space="preserve">  </w:t>
      </w:r>
    </w:p>
  </w:footnote>
  <w:footnote w:id="7">
    <w:p w:rsidR="00A03D41" w:rsidRPr="004A1A15" w:rsidRDefault="00A03D41" w:rsidP="005735B0">
      <w:pPr>
        <w:autoSpaceDE w:val="0"/>
        <w:autoSpaceDN w:val="0"/>
        <w:adjustRightInd w:val="0"/>
        <w:spacing w:after="0" w:line="240" w:lineRule="auto"/>
        <w:rPr>
          <w:rFonts w:cs="AdvTTe5c5f14d.B"/>
          <w:color w:val="131413"/>
          <w:sz w:val="18"/>
          <w:szCs w:val="18"/>
        </w:rPr>
      </w:pPr>
      <w:r w:rsidRPr="004A1A15">
        <w:rPr>
          <w:rStyle w:val="FootnoteReference"/>
          <w:sz w:val="18"/>
          <w:szCs w:val="18"/>
        </w:rPr>
        <w:footnoteRef/>
      </w:r>
      <w:r w:rsidRPr="004A1A15">
        <w:rPr>
          <w:sz w:val="18"/>
          <w:szCs w:val="18"/>
        </w:rPr>
        <w:t xml:space="preserve"> </w:t>
      </w:r>
      <w:r w:rsidRPr="004A1A15">
        <w:rPr>
          <w:rFonts w:cs="AdvTTe5c5f14d.B"/>
          <w:b/>
          <w:color w:val="131413"/>
          <w:sz w:val="18"/>
          <w:szCs w:val="18"/>
        </w:rPr>
        <w:t>Yi et al (2011)</w:t>
      </w:r>
      <w:r w:rsidRPr="004A1A15">
        <w:rPr>
          <w:rFonts w:cs="AdvTTe5c5f14d.B"/>
          <w:color w:val="131413"/>
          <w:sz w:val="18"/>
          <w:szCs w:val="18"/>
        </w:rPr>
        <w:t xml:space="preserve"> Economic burden of neural tube defects and impact of prevention with folic acid: a literature review </w:t>
      </w:r>
      <w:r w:rsidRPr="004A1A15">
        <w:rPr>
          <w:rFonts w:cs="AdvTT3713a231"/>
          <w:color w:val="131413"/>
          <w:sz w:val="18"/>
          <w:szCs w:val="18"/>
        </w:rPr>
        <w:t>Eur J Pediatr 170:1391</w:t>
      </w:r>
      <w:r w:rsidRPr="004A1A15">
        <w:rPr>
          <w:rFonts w:cs="AdvTT3713a231+20"/>
          <w:color w:val="131413"/>
          <w:sz w:val="18"/>
          <w:szCs w:val="18"/>
        </w:rPr>
        <w:t>–</w:t>
      </w:r>
      <w:r w:rsidRPr="004A1A15">
        <w:rPr>
          <w:rFonts w:cs="AdvTT3713a231"/>
          <w:color w:val="131413"/>
          <w:sz w:val="18"/>
          <w:szCs w:val="18"/>
        </w:rPr>
        <w:t>1400</w:t>
      </w:r>
    </w:p>
    <w:p w:rsidR="00A03D41" w:rsidRDefault="00A03D41">
      <w:pPr>
        <w:pStyle w:val="FootnoteText"/>
      </w:pPr>
    </w:p>
  </w:footnote>
  <w:footnote w:id="8">
    <w:p w:rsidR="00A03D41" w:rsidRPr="004A1A15" w:rsidRDefault="00A03D41" w:rsidP="004A1A15">
      <w:pPr>
        <w:pStyle w:val="Pa11"/>
        <w:spacing w:line="240" w:lineRule="auto"/>
        <w:rPr>
          <w:rFonts w:asciiTheme="minorHAnsi" w:hAnsiTheme="minorHAnsi"/>
          <w:bCs/>
          <w:sz w:val="18"/>
          <w:szCs w:val="18"/>
        </w:rPr>
      </w:pPr>
      <w:r w:rsidRPr="004A1A15">
        <w:rPr>
          <w:rStyle w:val="FootnoteReference"/>
          <w:rFonts w:asciiTheme="minorHAnsi" w:hAnsiTheme="minorHAnsi"/>
          <w:sz w:val="18"/>
          <w:szCs w:val="18"/>
        </w:rPr>
        <w:footnoteRef/>
      </w:r>
      <w:r w:rsidRPr="004A1A15">
        <w:rPr>
          <w:rFonts w:asciiTheme="minorHAnsi" w:hAnsiTheme="minorHAnsi"/>
          <w:sz w:val="18"/>
          <w:szCs w:val="18"/>
        </w:rPr>
        <w:t xml:space="preserve"> </w:t>
      </w:r>
      <w:r w:rsidRPr="004A1A15">
        <w:rPr>
          <w:rFonts w:asciiTheme="minorHAnsi" w:hAnsiTheme="minorHAnsi"/>
          <w:b/>
          <w:sz w:val="18"/>
          <w:szCs w:val="18"/>
        </w:rPr>
        <w:t>Welsh Government (2014)</w:t>
      </w:r>
      <w:r w:rsidRPr="004A1A15">
        <w:rPr>
          <w:rFonts w:asciiTheme="minorHAnsi" w:hAnsiTheme="minorHAnsi"/>
          <w:sz w:val="18"/>
          <w:szCs w:val="18"/>
        </w:rPr>
        <w:t xml:space="preserve"> </w:t>
      </w:r>
      <w:r w:rsidRPr="004A1A15">
        <w:rPr>
          <w:rFonts w:asciiTheme="minorHAnsi" w:hAnsiTheme="minorHAnsi"/>
          <w:bCs/>
          <w:sz w:val="18"/>
          <w:szCs w:val="18"/>
        </w:rPr>
        <w:t xml:space="preserve">Stroke Delivery Plan, Annual Report 2014 </w:t>
      </w:r>
      <w:hyperlink r:id="rId7" w:history="1">
        <w:r w:rsidRPr="004A1A15">
          <w:rPr>
            <w:rStyle w:val="Hyperlink"/>
            <w:rFonts w:asciiTheme="minorHAnsi" w:hAnsiTheme="minorHAnsi"/>
            <w:bCs/>
            <w:sz w:val="18"/>
            <w:szCs w:val="18"/>
          </w:rPr>
          <w:t>http://gov.wales/docs/dhss/publications/141121strokeen.pdf</w:t>
        </w:r>
      </w:hyperlink>
    </w:p>
  </w:footnote>
  <w:footnote w:id="9">
    <w:p w:rsidR="00A03D41" w:rsidRPr="004A1A15" w:rsidRDefault="00A03D41" w:rsidP="004A1A15">
      <w:pPr>
        <w:autoSpaceDE w:val="0"/>
        <w:autoSpaceDN w:val="0"/>
        <w:adjustRightInd w:val="0"/>
        <w:spacing w:after="0" w:line="240" w:lineRule="auto"/>
        <w:rPr>
          <w:rFonts w:cs="AdvP418B97"/>
          <w:color w:val="000000"/>
          <w:sz w:val="18"/>
          <w:szCs w:val="18"/>
        </w:rPr>
      </w:pPr>
      <w:r w:rsidRPr="004A1A15">
        <w:rPr>
          <w:rStyle w:val="FootnoteReference"/>
          <w:sz w:val="18"/>
          <w:szCs w:val="18"/>
        </w:rPr>
        <w:footnoteRef/>
      </w:r>
      <w:r w:rsidRPr="004A1A15">
        <w:rPr>
          <w:sz w:val="18"/>
          <w:szCs w:val="18"/>
        </w:rPr>
        <w:t xml:space="preserve"> </w:t>
      </w:r>
      <w:r w:rsidRPr="004A1A15">
        <w:rPr>
          <w:rFonts w:cs="AdvP101885"/>
          <w:b/>
          <w:color w:val="000000"/>
          <w:sz w:val="18"/>
          <w:szCs w:val="18"/>
        </w:rPr>
        <w:t>Radford et al 2013</w:t>
      </w:r>
      <w:r w:rsidRPr="004A1A15">
        <w:rPr>
          <w:rFonts w:cs="AdvP101885"/>
          <w:color w:val="000000"/>
          <w:sz w:val="18"/>
          <w:szCs w:val="18"/>
        </w:rPr>
        <w:t xml:space="preserve"> Return to work after traumatic brain injury: Cohort comparison and economic evaluation </w:t>
      </w:r>
      <w:r w:rsidRPr="004A1A15">
        <w:rPr>
          <w:rFonts w:cs="AdvP101884"/>
          <w:color w:val="000000"/>
          <w:sz w:val="18"/>
          <w:szCs w:val="18"/>
        </w:rPr>
        <w:t>Brain Injury</w:t>
      </w:r>
      <w:r w:rsidRPr="004A1A15">
        <w:rPr>
          <w:rFonts w:cs="AdvP418B97"/>
          <w:color w:val="000000"/>
          <w:sz w:val="18"/>
          <w:szCs w:val="18"/>
        </w:rPr>
        <w:t xml:space="preserve">  27(5): 507–520</w:t>
      </w:r>
    </w:p>
  </w:footnote>
  <w:footnote w:id="10">
    <w:p w:rsidR="00A03D41" w:rsidRPr="004A1A15" w:rsidRDefault="00A03D41" w:rsidP="004A1A15">
      <w:pPr>
        <w:spacing w:after="0" w:line="240" w:lineRule="auto"/>
        <w:rPr>
          <w:b/>
          <w:color w:val="365F91" w:themeColor="accent1" w:themeShade="BF"/>
          <w:sz w:val="18"/>
          <w:szCs w:val="18"/>
        </w:rPr>
      </w:pPr>
      <w:r w:rsidRPr="004A1A15">
        <w:rPr>
          <w:rStyle w:val="FootnoteReference"/>
          <w:sz w:val="18"/>
          <w:szCs w:val="18"/>
        </w:rPr>
        <w:footnoteRef/>
      </w:r>
      <w:r w:rsidRPr="004A1A15">
        <w:rPr>
          <w:sz w:val="18"/>
          <w:szCs w:val="18"/>
        </w:rPr>
        <w:t xml:space="preserve"> </w:t>
      </w:r>
      <w:r w:rsidRPr="004A1A15">
        <w:rPr>
          <w:b/>
          <w:sz w:val="18"/>
          <w:szCs w:val="18"/>
        </w:rPr>
        <w:t xml:space="preserve">NHS Ayrshire and Arran (2015) </w:t>
      </w:r>
      <w:r w:rsidRPr="004A1A15">
        <w:rPr>
          <w:sz w:val="18"/>
          <w:szCs w:val="18"/>
        </w:rPr>
        <w:t xml:space="preserve">Community Falls Prevention Pathway: INVIGOR8 programme Ayrshire &amp; Arran Summary Data Report </w:t>
      </w:r>
    </w:p>
  </w:footnote>
  <w:footnote w:id="11">
    <w:p w:rsidR="00A03D41" w:rsidRPr="004A1A15" w:rsidRDefault="00A03D41" w:rsidP="004A1A15">
      <w:pPr>
        <w:pStyle w:val="FootnoteText"/>
        <w:rPr>
          <w:sz w:val="18"/>
          <w:szCs w:val="18"/>
        </w:rPr>
      </w:pPr>
      <w:r w:rsidRPr="004A1A15">
        <w:rPr>
          <w:rStyle w:val="FootnoteReference"/>
          <w:sz w:val="18"/>
          <w:szCs w:val="18"/>
        </w:rPr>
        <w:footnoteRef/>
      </w:r>
      <w:r w:rsidRPr="004A1A15">
        <w:rPr>
          <w:sz w:val="18"/>
          <w:szCs w:val="18"/>
        </w:rPr>
        <w:t xml:space="preserve"> </w:t>
      </w:r>
      <w:r w:rsidRPr="003D0F58">
        <w:rPr>
          <w:b/>
          <w:sz w:val="18"/>
          <w:szCs w:val="18"/>
        </w:rPr>
        <w:t>Diabetes UK:</w:t>
      </w:r>
      <w:r w:rsidRPr="004A1A15">
        <w:rPr>
          <w:sz w:val="18"/>
          <w:szCs w:val="18"/>
        </w:rPr>
        <w:t xml:space="preserve"> State of the Nation- Wales. Challenges for 2015 and beyond. </w:t>
      </w:r>
      <w:hyperlink r:id="rId8" w:history="1">
        <w:r w:rsidRPr="004A1A15">
          <w:rPr>
            <w:rStyle w:val="Hyperlink"/>
            <w:sz w:val="18"/>
            <w:szCs w:val="18"/>
          </w:rPr>
          <w:t>https://www.diabetes.org.uk/Upload/Wales/Website%20NEW/Diabetes%20In%20Wales/State%20of%20the%20Nation%20WALES%202015.pdf</w:t>
        </w:r>
      </w:hyperlink>
    </w:p>
  </w:footnote>
  <w:footnote w:id="12">
    <w:p w:rsidR="00A03D41" w:rsidRPr="004A1A15" w:rsidRDefault="00A03D41" w:rsidP="004A1A15">
      <w:pPr>
        <w:pStyle w:val="FootnoteText"/>
        <w:rPr>
          <w:sz w:val="18"/>
          <w:szCs w:val="18"/>
        </w:rPr>
      </w:pPr>
      <w:r w:rsidRPr="004A1A15">
        <w:rPr>
          <w:rStyle w:val="FootnoteReference"/>
          <w:sz w:val="18"/>
          <w:szCs w:val="18"/>
        </w:rPr>
        <w:footnoteRef/>
      </w:r>
      <w:r w:rsidRPr="004A1A15">
        <w:rPr>
          <w:sz w:val="18"/>
          <w:szCs w:val="18"/>
        </w:rPr>
        <w:t xml:space="preserve"> </w:t>
      </w:r>
      <w:r w:rsidRPr="004A1A15">
        <w:rPr>
          <w:b/>
          <w:sz w:val="18"/>
          <w:szCs w:val="18"/>
        </w:rPr>
        <w:t>Diabetic Retinopathy Screening Service Wales</w:t>
      </w:r>
      <w:r w:rsidRPr="004A1A15">
        <w:rPr>
          <w:sz w:val="18"/>
          <w:szCs w:val="18"/>
        </w:rPr>
        <w:t xml:space="preserve"> </w:t>
      </w:r>
      <w:hyperlink r:id="rId9" w:history="1">
        <w:r w:rsidRPr="004A1A15">
          <w:rPr>
            <w:rStyle w:val="Hyperlink"/>
            <w:sz w:val="18"/>
            <w:szCs w:val="18"/>
          </w:rPr>
          <w:t>http://www.eyecare.wales.nhs.uk/drssw</w:t>
        </w:r>
      </w:hyperlink>
    </w:p>
  </w:footnote>
  <w:footnote w:id="13">
    <w:p w:rsidR="00A03D41" w:rsidRPr="004A1A15" w:rsidRDefault="00A03D41" w:rsidP="004A1A15">
      <w:pPr>
        <w:spacing w:after="0" w:line="240" w:lineRule="auto"/>
        <w:rPr>
          <w:sz w:val="18"/>
          <w:szCs w:val="18"/>
        </w:rPr>
      </w:pPr>
      <w:r w:rsidRPr="004A1A15">
        <w:rPr>
          <w:rStyle w:val="FootnoteReference"/>
          <w:sz w:val="18"/>
          <w:szCs w:val="18"/>
        </w:rPr>
        <w:footnoteRef/>
      </w:r>
      <w:r w:rsidRPr="004A1A15">
        <w:rPr>
          <w:sz w:val="18"/>
          <w:szCs w:val="18"/>
        </w:rPr>
        <w:t xml:space="preserve"> </w:t>
      </w:r>
      <w:r w:rsidRPr="004A1A15">
        <w:rPr>
          <w:b/>
          <w:sz w:val="18"/>
          <w:szCs w:val="18"/>
        </w:rPr>
        <w:t>Yeo et al (2012)</w:t>
      </w:r>
      <w:r w:rsidRPr="004A1A15">
        <w:rPr>
          <w:sz w:val="18"/>
          <w:szCs w:val="18"/>
        </w:rPr>
        <w:t xml:space="preserve"> Diabetic retinopathy screening: perspectives of people with diabetes, screening intervals and costs of attending screening.  Diabet Med.;29(7):878-85. </w:t>
      </w:r>
    </w:p>
  </w:footnote>
  <w:footnote w:id="14">
    <w:p w:rsidR="00A03D41" w:rsidRPr="00F7549D" w:rsidRDefault="00A03D41" w:rsidP="00F7549D">
      <w:pPr>
        <w:spacing w:after="0" w:line="240" w:lineRule="auto"/>
        <w:rPr>
          <w:sz w:val="18"/>
          <w:szCs w:val="18"/>
        </w:rPr>
      </w:pPr>
      <w:r w:rsidRPr="004A1A15">
        <w:rPr>
          <w:rStyle w:val="FootnoteReference"/>
          <w:sz w:val="18"/>
          <w:szCs w:val="18"/>
        </w:rPr>
        <w:footnoteRef/>
      </w:r>
      <w:r w:rsidRPr="004A1A15">
        <w:rPr>
          <w:sz w:val="18"/>
          <w:szCs w:val="18"/>
        </w:rPr>
        <w:t xml:space="preserve"> </w:t>
      </w:r>
      <w:r w:rsidRPr="004A1A15">
        <w:rPr>
          <w:b/>
          <w:sz w:val="18"/>
          <w:szCs w:val="18"/>
        </w:rPr>
        <w:t>Scanlon et al (2015)</w:t>
      </w:r>
      <w:r w:rsidRPr="004A1A15">
        <w:rPr>
          <w:sz w:val="18"/>
          <w:szCs w:val="18"/>
        </w:rPr>
        <w:t xml:space="preserve"> Development of a cost-effectiveness model for optimisation of the screening interval in diabetic retinopathy screening. Healt</w:t>
      </w:r>
      <w:r>
        <w:rPr>
          <w:sz w:val="18"/>
          <w:szCs w:val="18"/>
        </w:rPr>
        <w:t>h Technology Assessment ;19(74):1-116.</w:t>
      </w:r>
    </w:p>
  </w:footnote>
  <w:footnote w:id="15">
    <w:p w:rsidR="00A03D41" w:rsidRPr="00B4469C" w:rsidRDefault="00A03D41" w:rsidP="00956DB5">
      <w:pPr>
        <w:spacing w:after="0" w:line="240" w:lineRule="auto"/>
        <w:rPr>
          <w:bCs/>
          <w:sz w:val="18"/>
          <w:szCs w:val="18"/>
        </w:rPr>
      </w:pPr>
      <w:r w:rsidRPr="00B4469C">
        <w:rPr>
          <w:rStyle w:val="FootnoteReference"/>
          <w:sz w:val="18"/>
          <w:szCs w:val="18"/>
        </w:rPr>
        <w:footnoteRef/>
      </w:r>
      <w:r w:rsidRPr="00B4469C">
        <w:rPr>
          <w:sz w:val="18"/>
          <w:szCs w:val="18"/>
        </w:rPr>
        <w:t xml:space="preserve"> </w:t>
      </w:r>
      <w:r w:rsidRPr="00B4469C">
        <w:rPr>
          <w:b/>
          <w:sz w:val="18"/>
          <w:szCs w:val="18"/>
        </w:rPr>
        <w:t>NICE (2011)</w:t>
      </w:r>
      <w:r w:rsidRPr="00B4469C">
        <w:rPr>
          <w:sz w:val="18"/>
          <w:szCs w:val="18"/>
        </w:rPr>
        <w:t xml:space="preserve"> </w:t>
      </w:r>
      <w:r w:rsidRPr="00B4469C">
        <w:rPr>
          <w:bCs/>
          <w:sz w:val="18"/>
          <w:szCs w:val="18"/>
        </w:rPr>
        <w:t xml:space="preserve">The costs and benefits of early interventions for vulnerable children and families to promote social and emotional wellbeing: economics briefing </w:t>
      </w:r>
      <w:hyperlink r:id="rId10" w:history="1">
        <w:r w:rsidRPr="00B4469C">
          <w:rPr>
            <w:rStyle w:val="Hyperlink"/>
            <w:bCs/>
            <w:sz w:val="18"/>
            <w:szCs w:val="18"/>
          </w:rPr>
          <w:t>http://www.nice.org.uk/guidance/ph40/documents/social-and-emotional-wellbeing-early-years-expert-report-32</w:t>
        </w:r>
      </w:hyperlink>
    </w:p>
  </w:footnote>
  <w:footnote w:id="16">
    <w:p w:rsidR="00A03D41" w:rsidRPr="00B4469C" w:rsidRDefault="00A03D41" w:rsidP="00956DB5">
      <w:pPr>
        <w:spacing w:after="0" w:line="240" w:lineRule="auto"/>
        <w:rPr>
          <w:rFonts w:eastAsia="Times New Roman" w:cs="Arial"/>
          <w:b/>
          <w:bCs/>
          <w:color w:val="333333"/>
          <w:kern w:val="36"/>
          <w:sz w:val="18"/>
          <w:szCs w:val="18"/>
          <w:lang w:eastAsia="en-GB"/>
        </w:rPr>
      </w:pPr>
      <w:r w:rsidRPr="00B4469C">
        <w:rPr>
          <w:rStyle w:val="FootnoteReference"/>
          <w:b/>
          <w:sz w:val="18"/>
          <w:szCs w:val="18"/>
        </w:rPr>
        <w:footnoteRef/>
      </w:r>
      <w:r w:rsidRPr="00B4469C">
        <w:rPr>
          <w:b/>
          <w:sz w:val="18"/>
          <w:szCs w:val="18"/>
        </w:rPr>
        <w:t xml:space="preserve"> </w:t>
      </w:r>
      <w:hyperlink r:id="rId11" w:history="1">
        <w:r w:rsidRPr="00B4469C">
          <w:rPr>
            <w:rFonts w:eastAsia="Times New Roman" w:cs="Arial"/>
            <w:b/>
            <w:bCs/>
            <w:color w:val="333333"/>
            <w:sz w:val="18"/>
            <w:szCs w:val="18"/>
            <w:lang w:eastAsia="en-GB"/>
          </w:rPr>
          <w:t xml:space="preserve">L </w:t>
        </w:r>
        <w:proofErr w:type="spellStart"/>
        <w:r w:rsidRPr="00B4469C">
          <w:rPr>
            <w:rFonts w:eastAsia="Times New Roman" w:cs="Arial"/>
            <w:b/>
            <w:bCs/>
            <w:color w:val="333333"/>
            <w:sz w:val="18"/>
            <w:szCs w:val="18"/>
            <w:lang w:eastAsia="en-GB"/>
          </w:rPr>
          <w:t>Rychetnik</w:t>
        </w:r>
        <w:proofErr w:type="spellEnd"/>
      </w:hyperlink>
      <w:hyperlink r:id="rId12" w:anchor="aff-1" w:history="1"/>
      <w:r w:rsidRPr="00B4469C">
        <w:rPr>
          <w:rFonts w:eastAsia="Times New Roman" w:cs="Arial"/>
          <w:b/>
          <w:bCs/>
          <w:color w:val="333333"/>
          <w:sz w:val="18"/>
          <w:szCs w:val="18"/>
          <w:lang w:eastAsia="en-GB"/>
        </w:rPr>
        <w:t xml:space="preserve">  et al</w:t>
      </w:r>
      <w:r w:rsidRPr="00B4469C">
        <w:rPr>
          <w:rFonts w:eastAsia="Times New Roman" w:cs="Arial"/>
          <w:b/>
          <w:bCs/>
          <w:color w:val="333333"/>
          <w:kern w:val="36"/>
          <w:sz w:val="18"/>
          <w:szCs w:val="18"/>
          <w:lang w:eastAsia="en-GB"/>
        </w:rPr>
        <w:t xml:space="preserve"> 2002 Criteria for evaluating evidence on public health interventions </w:t>
      </w:r>
      <w:r w:rsidRPr="00B4469C">
        <w:rPr>
          <w:rFonts w:eastAsia="Times New Roman" w:cs="Arial"/>
          <w:i/>
          <w:iCs/>
          <w:color w:val="333300"/>
          <w:sz w:val="18"/>
          <w:szCs w:val="18"/>
          <w:lang w:eastAsia="en-GB"/>
        </w:rPr>
        <w:t>J Epidemiol Community Health</w:t>
      </w:r>
    </w:p>
  </w:footnote>
  <w:footnote w:id="17">
    <w:p w:rsidR="00A03D41" w:rsidRPr="00B4469C" w:rsidRDefault="00A03D41" w:rsidP="00956DB5">
      <w:pPr>
        <w:shd w:val="clear" w:color="auto" w:fill="FFFFFF"/>
        <w:spacing w:after="0" w:line="240" w:lineRule="auto"/>
        <w:outlineLvl w:val="0"/>
        <w:rPr>
          <w:rFonts w:eastAsia="Times New Roman" w:cs="Arial"/>
          <w:sz w:val="18"/>
          <w:szCs w:val="18"/>
          <w:lang w:eastAsia="en-GB"/>
        </w:rPr>
      </w:pPr>
      <w:r w:rsidRPr="00B4469C">
        <w:rPr>
          <w:rStyle w:val="FootnoteReference"/>
          <w:sz w:val="18"/>
          <w:szCs w:val="18"/>
        </w:rPr>
        <w:footnoteRef/>
      </w:r>
      <w:r w:rsidRPr="00B4469C">
        <w:rPr>
          <w:sz w:val="18"/>
          <w:szCs w:val="18"/>
        </w:rPr>
        <w:t xml:space="preserve"> </w:t>
      </w:r>
      <w:r w:rsidRPr="00B4469C">
        <w:rPr>
          <w:rFonts w:eastAsia="Times New Roman" w:cs="Arial"/>
          <w:b/>
          <w:bCs/>
          <w:kern w:val="36"/>
          <w:sz w:val="18"/>
          <w:szCs w:val="18"/>
          <w:lang w:eastAsia="en-GB"/>
        </w:rPr>
        <w:t>Ni et al (2015</w:t>
      </w:r>
      <w:r w:rsidRPr="00B4469C">
        <w:rPr>
          <w:rFonts w:eastAsia="Times New Roman" w:cs="Arial"/>
          <w:bCs/>
          <w:kern w:val="36"/>
          <w:sz w:val="18"/>
          <w:szCs w:val="18"/>
          <w:lang w:eastAsia="en-GB"/>
        </w:rPr>
        <w:t>) Prophylactic use of macrolide antibiotics for the prevention of chronic obstructive pulmonary disease exacerbation: a meta-analysis.</w:t>
      </w:r>
      <w:r w:rsidRPr="00B4469C">
        <w:rPr>
          <w:rFonts w:eastAsia="Times New Roman" w:cs="Arial"/>
          <w:sz w:val="18"/>
          <w:szCs w:val="18"/>
          <w:lang w:eastAsia="en-GB"/>
        </w:rPr>
        <w:t xml:space="preserve"> </w:t>
      </w:r>
      <w:hyperlink r:id="rId13" w:tooltip="PloS one." w:history="1">
        <w:r w:rsidRPr="00B4469C">
          <w:rPr>
            <w:rFonts w:eastAsia="Times New Roman" w:cs="Arial"/>
            <w:sz w:val="18"/>
            <w:szCs w:val="18"/>
            <w:u w:val="single"/>
            <w:lang w:eastAsia="en-GB"/>
          </w:rPr>
          <w:t>PLoS One.</w:t>
        </w:r>
      </w:hyperlink>
      <w:r w:rsidRPr="00B4469C">
        <w:rPr>
          <w:rFonts w:eastAsia="Times New Roman" w:cs="Arial"/>
          <w:sz w:val="18"/>
          <w:szCs w:val="18"/>
          <w:lang w:eastAsia="en-GB"/>
        </w:rPr>
        <w:t xml:space="preserve"> </w:t>
      </w:r>
      <w:hyperlink r:id="rId14" w:history="1">
        <w:r w:rsidRPr="00B4469C">
          <w:rPr>
            <w:rStyle w:val="Hyperlink"/>
            <w:rFonts w:eastAsia="Times New Roman" w:cs="Arial"/>
            <w:sz w:val="18"/>
            <w:szCs w:val="18"/>
            <w:lang w:eastAsia="en-GB"/>
          </w:rPr>
          <w:t>http://journals.plos.org/plosone/article?id=10.1371/journal.pone.0121257</w:t>
        </w:r>
      </w:hyperlink>
    </w:p>
  </w:footnote>
  <w:footnote w:id="18">
    <w:p w:rsidR="00A03D41" w:rsidRPr="00D31762" w:rsidRDefault="00A03D41" w:rsidP="00956DB5">
      <w:pPr>
        <w:pStyle w:val="FootnoteText"/>
        <w:rPr>
          <w:sz w:val="18"/>
          <w:szCs w:val="18"/>
        </w:rPr>
      </w:pPr>
      <w:r w:rsidRPr="00B4469C">
        <w:rPr>
          <w:rStyle w:val="FootnoteReference"/>
          <w:sz w:val="18"/>
          <w:szCs w:val="18"/>
        </w:rPr>
        <w:footnoteRef/>
      </w:r>
      <w:r w:rsidRPr="00B4469C">
        <w:rPr>
          <w:sz w:val="18"/>
          <w:szCs w:val="18"/>
        </w:rPr>
        <w:t xml:space="preserve"> </w:t>
      </w:r>
      <w:r w:rsidRPr="00B4469C">
        <w:rPr>
          <w:b/>
          <w:sz w:val="18"/>
          <w:szCs w:val="18"/>
        </w:rPr>
        <w:t>NHS Choices Prostate Cancer</w:t>
      </w:r>
      <w:r w:rsidRPr="00B4469C">
        <w:rPr>
          <w:sz w:val="18"/>
          <w:szCs w:val="18"/>
        </w:rPr>
        <w:t xml:space="preserve"> </w:t>
      </w:r>
      <w:hyperlink r:id="rId15" w:history="1">
        <w:r w:rsidRPr="00B4469C">
          <w:rPr>
            <w:rStyle w:val="Hyperlink"/>
            <w:sz w:val="18"/>
            <w:szCs w:val="18"/>
          </w:rPr>
          <w:t>http://www.nhs.uk/Conditions/Cancer-of-the-prostate/Pages/Prevention.aspx</w:t>
        </w:r>
      </w:hyperlink>
    </w:p>
  </w:footnote>
  <w:footnote w:id="19">
    <w:p w:rsidR="00A03D41" w:rsidRDefault="00A03D41" w:rsidP="00956DB5">
      <w:pPr>
        <w:autoSpaceDE w:val="0"/>
        <w:autoSpaceDN w:val="0"/>
        <w:adjustRightInd w:val="0"/>
        <w:spacing w:after="0" w:line="240" w:lineRule="auto"/>
      </w:pPr>
      <w:r>
        <w:rPr>
          <w:rStyle w:val="FootnoteReference"/>
        </w:rPr>
        <w:footnoteRef/>
      </w:r>
      <w:r>
        <w:t xml:space="preserve"> </w:t>
      </w:r>
      <w:r w:rsidRPr="00A35E42">
        <w:rPr>
          <w:rFonts w:cs="AdvP7D0F"/>
          <w:b/>
          <w:sz w:val="18"/>
          <w:szCs w:val="24"/>
        </w:rPr>
        <w:t>Gøtzsche 2015</w:t>
      </w:r>
      <w:r w:rsidRPr="00A35E42">
        <w:rPr>
          <w:rFonts w:cs="AdvP7D0F"/>
          <w:sz w:val="18"/>
          <w:szCs w:val="24"/>
        </w:rPr>
        <w:t xml:space="preserve"> Mammography screening is harmful and should</w:t>
      </w:r>
      <w:r>
        <w:rPr>
          <w:rFonts w:cs="AdvP7D0F"/>
          <w:sz w:val="18"/>
          <w:szCs w:val="24"/>
        </w:rPr>
        <w:t xml:space="preserve"> </w:t>
      </w:r>
      <w:r w:rsidRPr="00A35E42">
        <w:rPr>
          <w:rFonts w:cs="AdvP7D0F"/>
          <w:sz w:val="18"/>
          <w:szCs w:val="24"/>
        </w:rPr>
        <w:t xml:space="preserve">be abandoned </w:t>
      </w:r>
      <w:r w:rsidRPr="00A35E42">
        <w:rPr>
          <w:rFonts w:cs="AdvP7D09"/>
          <w:sz w:val="18"/>
          <w:szCs w:val="24"/>
        </w:rPr>
        <w:t>Journal of the Royal Society of Medicine  108(9) 341–345</w:t>
      </w:r>
    </w:p>
  </w:footnote>
  <w:footnote w:id="20">
    <w:p w:rsidR="00A03D41" w:rsidRPr="00B4469C" w:rsidRDefault="00A03D41" w:rsidP="00956DB5">
      <w:pPr>
        <w:spacing w:after="0" w:line="240" w:lineRule="auto"/>
        <w:rPr>
          <w:sz w:val="18"/>
          <w:szCs w:val="18"/>
        </w:rPr>
      </w:pPr>
      <w:r w:rsidRPr="00B4469C">
        <w:rPr>
          <w:rStyle w:val="FootnoteReference"/>
          <w:sz w:val="18"/>
          <w:szCs w:val="18"/>
        </w:rPr>
        <w:footnoteRef/>
      </w:r>
      <w:r w:rsidRPr="00B4469C">
        <w:rPr>
          <w:sz w:val="18"/>
          <w:szCs w:val="18"/>
        </w:rPr>
        <w:t xml:space="preserve">  </w:t>
      </w:r>
      <w:r w:rsidRPr="00B4469C">
        <w:rPr>
          <w:b/>
          <w:sz w:val="18"/>
          <w:szCs w:val="18"/>
        </w:rPr>
        <w:t>Early Intervention Task Force (2011)</w:t>
      </w:r>
      <w:r w:rsidRPr="00B4469C">
        <w:rPr>
          <w:sz w:val="18"/>
          <w:szCs w:val="18"/>
        </w:rPr>
        <w:t xml:space="preserve"> The Triple Dividend: Thriving lives, Costing Less, Contributing more: Available on line at </w:t>
      </w:r>
      <w:hyperlink r:id="rId16" w:history="1">
        <w:r w:rsidRPr="00B4469C">
          <w:rPr>
            <w:rStyle w:val="Hyperlink"/>
            <w:sz w:val="18"/>
            <w:szCs w:val="18"/>
          </w:rPr>
          <w:t>http://www.community-links.org/uploads/documents/Triple_Dividend.pdf</w:t>
        </w:r>
      </w:hyperlink>
    </w:p>
    <w:p w:rsidR="00A03D41" w:rsidRDefault="00A03D41" w:rsidP="00956DB5">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32D4A"/>
    <w:multiLevelType w:val="hybridMultilevel"/>
    <w:tmpl w:val="62ACB750"/>
    <w:lvl w:ilvl="0" w:tplc="08090001">
      <w:start w:val="1"/>
      <w:numFmt w:val="bullet"/>
      <w:lvlText w:val=""/>
      <w:lvlJc w:val="left"/>
      <w:pPr>
        <w:ind w:left="360" w:hanging="360"/>
      </w:pPr>
      <w:rPr>
        <w:rFonts w:ascii="Symbol" w:hAnsi="Symbol" w:hint="default"/>
        <w:b/>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D4227B4"/>
    <w:multiLevelType w:val="hybridMultilevel"/>
    <w:tmpl w:val="E382B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EF26EC6"/>
    <w:multiLevelType w:val="hybridMultilevel"/>
    <w:tmpl w:val="D3FC0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D8C030B"/>
    <w:multiLevelType w:val="hybridMultilevel"/>
    <w:tmpl w:val="BF6E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B45AA7"/>
    <w:multiLevelType w:val="hybridMultilevel"/>
    <w:tmpl w:val="B27E05E0"/>
    <w:lvl w:ilvl="0" w:tplc="0809000F">
      <w:start w:val="1"/>
      <w:numFmt w:val="decimal"/>
      <w:lvlText w:val="%1."/>
      <w:lvlJc w:val="left"/>
      <w:pPr>
        <w:ind w:left="360" w:hanging="360"/>
      </w:pPr>
      <w:rPr>
        <w:rFonts w:hint="default"/>
        <w:b/>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DDB5DB9"/>
    <w:multiLevelType w:val="hybridMultilevel"/>
    <w:tmpl w:val="C09CDA96"/>
    <w:lvl w:ilvl="0" w:tplc="1250FB56">
      <w:start w:val="1"/>
      <w:numFmt w:val="decimal"/>
      <w:lvlText w:val="%1."/>
      <w:lvlJc w:val="left"/>
      <w:pPr>
        <w:ind w:left="360" w:hanging="360"/>
      </w:pPr>
      <w:rPr>
        <w:rFonts w:hint="default"/>
        <w:b/>
      </w:rPr>
    </w:lvl>
    <w:lvl w:ilvl="1" w:tplc="70CCC872">
      <w:start w:val="1"/>
      <w:numFmt w:val="decimal"/>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0573580"/>
    <w:multiLevelType w:val="hybridMultilevel"/>
    <w:tmpl w:val="40DA4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173D91"/>
    <w:multiLevelType w:val="hybridMultilevel"/>
    <w:tmpl w:val="3CA26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8CD5ADB"/>
    <w:multiLevelType w:val="hybridMultilevel"/>
    <w:tmpl w:val="92BCA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D1E3141"/>
    <w:multiLevelType w:val="hybridMultilevel"/>
    <w:tmpl w:val="7C484AA8"/>
    <w:lvl w:ilvl="0" w:tplc="08090001">
      <w:start w:val="1"/>
      <w:numFmt w:val="bullet"/>
      <w:lvlText w:val=""/>
      <w:lvlJc w:val="left"/>
      <w:pPr>
        <w:ind w:left="360" w:hanging="360"/>
      </w:pPr>
      <w:rPr>
        <w:rFonts w:ascii="Symbol" w:hAnsi="Symbol" w:hint="default"/>
        <w:b/>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6"/>
  </w:num>
  <w:num w:numId="4">
    <w:abstractNumId w:val="8"/>
  </w:num>
  <w:num w:numId="5">
    <w:abstractNumId w:val="4"/>
  </w:num>
  <w:num w:numId="6">
    <w:abstractNumId w:val="1"/>
  </w:num>
  <w:num w:numId="7">
    <w:abstractNumId w:val="3"/>
  </w:num>
  <w:num w:numId="8">
    <w:abstractNumId w:val="0"/>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E6F4C"/>
    <w:rsid w:val="00007551"/>
    <w:rsid w:val="000417CB"/>
    <w:rsid w:val="00051041"/>
    <w:rsid w:val="000769EB"/>
    <w:rsid w:val="000826B0"/>
    <w:rsid w:val="000A51EC"/>
    <w:rsid w:val="000B158D"/>
    <w:rsid w:val="000D112E"/>
    <w:rsid w:val="001101FF"/>
    <w:rsid w:val="00132F9D"/>
    <w:rsid w:val="001350E9"/>
    <w:rsid w:val="001358F0"/>
    <w:rsid w:val="00140E12"/>
    <w:rsid w:val="00150195"/>
    <w:rsid w:val="00167B4B"/>
    <w:rsid w:val="00167E38"/>
    <w:rsid w:val="00185B29"/>
    <w:rsid w:val="00192CFA"/>
    <w:rsid w:val="00193DA8"/>
    <w:rsid w:val="001A0D34"/>
    <w:rsid w:val="001B44B3"/>
    <w:rsid w:val="001C0BDB"/>
    <w:rsid w:val="001D04CF"/>
    <w:rsid w:val="001E1B96"/>
    <w:rsid w:val="002074A9"/>
    <w:rsid w:val="00223F21"/>
    <w:rsid w:val="00230D9B"/>
    <w:rsid w:val="00235DE1"/>
    <w:rsid w:val="00260E37"/>
    <w:rsid w:val="00265488"/>
    <w:rsid w:val="002870F6"/>
    <w:rsid w:val="002A42C8"/>
    <w:rsid w:val="002A5394"/>
    <w:rsid w:val="002B61B5"/>
    <w:rsid w:val="002D0A70"/>
    <w:rsid w:val="002F75E2"/>
    <w:rsid w:val="00300EF7"/>
    <w:rsid w:val="0030151D"/>
    <w:rsid w:val="00315E25"/>
    <w:rsid w:val="00341B65"/>
    <w:rsid w:val="0034613C"/>
    <w:rsid w:val="003650E9"/>
    <w:rsid w:val="00391FB0"/>
    <w:rsid w:val="00396AAD"/>
    <w:rsid w:val="003A0AF9"/>
    <w:rsid w:val="003A3EC1"/>
    <w:rsid w:val="003C54A9"/>
    <w:rsid w:val="003D0F58"/>
    <w:rsid w:val="003D321E"/>
    <w:rsid w:val="003D5459"/>
    <w:rsid w:val="003E19B4"/>
    <w:rsid w:val="003E27CA"/>
    <w:rsid w:val="0040220C"/>
    <w:rsid w:val="00455DFA"/>
    <w:rsid w:val="00463725"/>
    <w:rsid w:val="00487C27"/>
    <w:rsid w:val="00490C32"/>
    <w:rsid w:val="004A1A15"/>
    <w:rsid w:val="004C2141"/>
    <w:rsid w:val="004C6E2E"/>
    <w:rsid w:val="004D4F98"/>
    <w:rsid w:val="004E3BDA"/>
    <w:rsid w:val="004E4999"/>
    <w:rsid w:val="004E5E4E"/>
    <w:rsid w:val="004E6F4C"/>
    <w:rsid w:val="004F15EA"/>
    <w:rsid w:val="004F47FD"/>
    <w:rsid w:val="00507043"/>
    <w:rsid w:val="005244F5"/>
    <w:rsid w:val="005316B4"/>
    <w:rsid w:val="00533099"/>
    <w:rsid w:val="0053604E"/>
    <w:rsid w:val="005367B7"/>
    <w:rsid w:val="00553167"/>
    <w:rsid w:val="00570F51"/>
    <w:rsid w:val="005735B0"/>
    <w:rsid w:val="00575E9D"/>
    <w:rsid w:val="0057616F"/>
    <w:rsid w:val="00584034"/>
    <w:rsid w:val="005D2747"/>
    <w:rsid w:val="005D6E74"/>
    <w:rsid w:val="005F2FBA"/>
    <w:rsid w:val="00615E35"/>
    <w:rsid w:val="00642C1B"/>
    <w:rsid w:val="00662ED4"/>
    <w:rsid w:val="006735C5"/>
    <w:rsid w:val="00683422"/>
    <w:rsid w:val="006876F4"/>
    <w:rsid w:val="006A3F39"/>
    <w:rsid w:val="006C6E21"/>
    <w:rsid w:val="006E26C6"/>
    <w:rsid w:val="00712F4A"/>
    <w:rsid w:val="00741A68"/>
    <w:rsid w:val="00747A3B"/>
    <w:rsid w:val="00752828"/>
    <w:rsid w:val="007720AF"/>
    <w:rsid w:val="007759B9"/>
    <w:rsid w:val="00785794"/>
    <w:rsid w:val="007927C1"/>
    <w:rsid w:val="007E09FE"/>
    <w:rsid w:val="007E2181"/>
    <w:rsid w:val="007F00A0"/>
    <w:rsid w:val="00804DFD"/>
    <w:rsid w:val="008139F1"/>
    <w:rsid w:val="0083395E"/>
    <w:rsid w:val="008341B6"/>
    <w:rsid w:val="0084376F"/>
    <w:rsid w:val="00871E66"/>
    <w:rsid w:val="008934BD"/>
    <w:rsid w:val="008B2969"/>
    <w:rsid w:val="008B4A61"/>
    <w:rsid w:val="008C24A3"/>
    <w:rsid w:val="008D2843"/>
    <w:rsid w:val="008D3EB4"/>
    <w:rsid w:val="00900D8F"/>
    <w:rsid w:val="00914AD5"/>
    <w:rsid w:val="0092245C"/>
    <w:rsid w:val="00937A84"/>
    <w:rsid w:val="00956DB5"/>
    <w:rsid w:val="00993431"/>
    <w:rsid w:val="009C7769"/>
    <w:rsid w:val="009F6CD7"/>
    <w:rsid w:val="00A03D41"/>
    <w:rsid w:val="00A14ED5"/>
    <w:rsid w:val="00A21B8A"/>
    <w:rsid w:val="00A23584"/>
    <w:rsid w:val="00A35E42"/>
    <w:rsid w:val="00A4133A"/>
    <w:rsid w:val="00A471C4"/>
    <w:rsid w:val="00A6582D"/>
    <w:rsid w:val="00A66B37"/>
    <w:rsid w:val="00A76DE0"/>
    <w:rsid w:val="00A80F67"/>
    <w:rsid w:val="00A81273"/>
    <w:rsid w:val="00AA6F94"/>
    <w:rsid w:val="00AB4E14"/>
    <w:rsid w:val="00AB73D2"/>
    <w:rsid w:val="00AC4ED5"/>
    <w:rsid w:val="00B01C5D"/>
    <w:rsid w:val="00B1587A"/>
    <w:rsid w:val="00B265F6"/>
    <w:rsid w:val="00B35532"/>
    <w:rsid w:val="00B4469C"/>
    <w:rsid w:val="00B45010"/>
    <w:rsid w:val="00B52FC2"/>
    <w:rsid w:val="00B53029"/>
    <w:rsid w:val="00B5649B"/>
    <w:rsid w:val="00B62C61"/>
    <w:rsid w:val="00B67762"/>
    <w:rsid w:val="00B80C02"/>
    <w:rsid w:val="00B8306E"/>
    <w:rsid w:val="00B86A03"/>
    <w:rsid w:val="00B86B75"/>
    <w:rsid w:val="00BB1973"/>
    <w:rsid w:val="00BB25D6"/>
    <w:rsid w:val="00BC2D60"/>
    <w:rsid w:val="00BD3F97"/>
    <w:rsid w:val="00BD5D69"/>
    <w:rsid w:val="00BE006D"/>
    <w:rsid w:val="00BE4643"/>
    <w:rsid w:val="00BF568D"/>
    <w:rsid w:val="00C052FB"/>
    <w:rsid w:val="00C07079"/>
    <w:rsid w:val="00C176A3"/>
    <w:rsid w:val="00C37BF9"/>
    <w:rsid w:val="00C411DF"/>
    <w:rsid w:val="00C52652"/>
    <w:rsid w:val="00C65D7A"/>
    <w:rsid w:val="00C72180"/>
    <w:rsid w:val="00C73BAF"/>
    <w:rsid w:val="00C745FF"/>
    <w:rsid w:val="00C810FF"/>
    <w:rsid w:val="00C81D31"/>
    <w:rsid w:val="00C82786"/>
    <w:rsid w:val="00CA1AE1"/>
    <w:rsid w:val="00CA358C"/>
    <w:rsid w:val="00CC4307"/>
    <w:rsid w:val="00CC64D9"/>
    <w:rsid w:val="00CC6A03"/>
    <w:rsid w:val="00CE752F"/>
    <w:rsid w:val="00CF3506"/>
    <w:rsid w:val="00D0441F"/>
    <w:rsid w:val="00D065DC"/>
    <w:rsid w:val="00D12299"/>
    <w:rsid w:val="00D31762"/>
    <w:rsid w:val="00D44509"/>
    <w:rsid w:val="00D60452"/>
    <w:rsid w:val="00DA67F7"/>
    <w:rsid w:val="00DD0827"/>
    <w:rsid w:val="00DE742A"/>
    <w:rsid w:val="00E24167"/>
    <w:rsid w:val="00E801FB"/>
    <w:rsid w:val="00E96CC5"/>
    <w:rsid w:val="00EA70B5"/>
    <w:rsid w:val="00EE009E"/>
    <w:rsid w:val="00EE607E"/>
    <w:rsid w:val="00F14C35"/>
    <w:rsid w:val="00F22CF6"/>
    <w:rsid w:val="00F36541"/>
    <w:rsid w:val="00F45D3A"/>
    <w:rsid w:val="00F51C62"/>
    <w:rsid w:val="00F612FF"/>
    <w:rsid w:val="00F707E4"/>
    <w:rsid w:val="00F75279"/>
    <w:rsid w:val="00F7549D"/>
    <w:rsid w:val="00FC23F8"/>
    <w:rsid w:val="00FE46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C1B"/>
    <w:pPr>
      <w:spacing w:after="120"/>
    </w:pPr>
    <w:rPr>
      <w:sz w:val="24"/>
    </w:rPr>
  </w:style>
  <w:style w:type="paragraph" w:styleId="Heading1">
    <w:name w:val="heading 1"/>
    <w:basedOn w:val="Normal"/>
    <w:next w:val="Normal"/>
    <w:link w:val="Heading1Char"/>
    <w:uiPriority w:val="9"/>
    <w:qFormat/>
    <w:rsid w:val="005D2747"/>
    <w:pPr>
      <w:keepNext/>
      <w:keepLines/>
      <w:pBdr>
        <w:bottom w:val="single" w:sz="8" w:space="1" w:color="1F497D" w:themeColor="text2"/>
      </w:pBdr>
      <w:spacing w:before="120"/>
      <w:ind w:left="-567" w:right="284"/>
      <w:outlineLvl w:val="0"/>
    </w:pPr>
    <w:rPr>
      <w:rFonts w:asciiTheme="majorHAnsi" w:eastAsiaTheme="majorEastAsia" w:hAnsiTheme="majorHAnsi" w:cstheme="majorBidi"/>
      <w:b/>
      <w:bCs/>
      <w:color w:val="4F81BD" w:themeColor="accent1"/>
      <w:sz w:val="28"/>
      <w:szCs w:val="28"/>
    </w:rPr>
  </w:style>
  <w:style w:type="paragraph" w:styleId="Heading2">
    <w:name w:val="heading 2"/>
    <w:basedOn w:val="Normal"/>
    <w:next w:val="Normal"/>
    <w:link w:val="Heading2Char"/>
    <w:autoRedefine/>
    <w:uiPriority w:val="9"/>
    <w:unhideWhenUsed/>
    <w:qFormat/>
    <w:rsid w:val="00804DFD"/>
    <w:pPr>
      <w:keepNext/>
      <w:keepLines/>
      <w:spacing w:before="120"/>
      <w:ind w:left="-567"/>
      <w:outlineLvl w:val="1"/>
    </w:pPr>
    <w:rPr>
      <w:rFonts w:eastAsia="Times New Roman" w:cstheme="majorBidi"/>
      <w:b/>
      <w:bCs/>
      <w:color w:val="4F81BD" w:themeColor="accen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F4C"/>
    <w:pPr>
      <w:ind w:left="720"/>
      <w:contextualSpacing/>
    </w:pPr>
  </w:style>
  <w:style w:type="paragraph" w:styleId="BalloonText">
    <w:name w:val="Balloon Text"/>
    <w:basedOn w:val="Normal"/>
    <w:link w:val="BalloonTextChar"/>
    <w:uiPriority w:val="99"/>
    <w:semiHidden/>
    <w:unhideWhenUsed/>
    <w:rsid w:val="004E6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F4C"/>
    <w:rPr>
      <w:rFonts w:ascii="Tahoma" w:hAnsi="Tahoma" w:cs="Tahoma"/>
      <w:sz w:val="16"/>
      <w:szCs w:val="16"/>
    </w:rPr>
  </w:style>
  <w:style w:type="character" w:styleId="Hyperlink">
    <w:name w:val="Hyperlink"/>
    <w:basedOn w:val="DefaultParagraphFont"/>
    <w:uiPriority w:val="99"/>
    <w:unhideWhenUsed/>
    <w:rsid w:val="00C81D31"/>
    <w:rPr>
      <w:color w:val="0000FF" w:themeColor="hyperlink"/>
      <w:u w:val="single"/>
    </w:rPr>
  </w:style>
  <w:style w:type="paragraph" w:customStyle="1" w:styleId="Default">
    <w:name w:val="Default"/>
    <w:rsid w:val="008C24A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85B29"/>
    <w:pPr>
      <w:spacing w:before="100" w:beforeAutospacing="1" w:after="100" w:afterAutospacing="1" w:line="240" w:lineRule="auto"/>
    </w:pPr>
    <w:rPr>
      <w:rFonts w:ascii="Times New Roman" w:eastAsia="Times New Roman" w:hAnsi="Times New Roman" w:cs="Times New Roman"/>
      <w:color w:val="000000"/>
      <w:szCs w:val="24"/>
      <w:lang w:eastAsia="en-GB"/>
    </w:rPr>
  </w:style>
  <w:style w:type="character" w:styleId="CommentReference">
    <w:name w:val="annotation reference"/>
    <w:basedOn w:val="DefaultParagraphFont"/>
    <w:uiPriority w:val="99"/>
    <w:semiHidden/>
    <w:unhideWhenUsed/>
    <w:rsid w:val="007720AF"/>
    <w:rPr>
      <w:sz w:val="16"/>
      <w:szCs w:val="16"/>
    </w:rPr>
  </w:style>
  <w:style w:type="paragraph" w:styleId="CommentText">
    <w:name w:val="annotation text"/>
    <w:basedOn w:val="Normal"/>
    <w:link w:val="CommentTextChar"/>
    <w:uiPriority w:val="99"/>
    <w:semiHidden/>
    <w:unhideWhenUsed/>
    <w:rsid w:val="007720AF"/>
    <w:pPr>
      <w:spacing w:line="240" w:lineRule="auto"/>
    </w:pPr>
    <w:rPr>
      <w:sz w:val="20"/>
      <w:szCs w:val="20"/>
    </w:rPr>
  </w:style>
  <w:style w:type="character" w:customStyle="1" w:styleId="CommentTextChar">
    <w:name w:val="Comment Text Char"/>
    <w:basedOn w:val="DefaultParagraphFont"/>
    <w:link w:val="CommentText"/>
    <w:uiPriority w:val="99"/>
    <w:semiHidden/>
    <w:rsid w:val="007720AF"/>
    <w:rPr>
      <w:sz w:val="20"/>
      <w:szCs w:val="20"/>
    </w:rPr>
  </w:style>
  <w:style w:type="paragraph" w:styleId="CommentSubject">
    <w:name w:val="annotation subject"/>
    <w:basedOn w:val="CommentText"/>
    <w:next w:val="CommentText"/>
    <w:link w:val="CommentSubjectChar"/>
    <w:uiPriority w:val="99"/>
    <w:semiHidden/>
    <w:unhideWhenUsed/>
    <w:rsid w:val="007720AF"/>
    <w:rPr>
      <w:b/>
      <w:bCs/>
    </w:rPr>
  </w:style>
  <w:style w:type="character" w:customStyle="1" w:styleId="CommentSubjectChar">
    <w:name w:val="Comment Subject Char"/>
    <w:basedOn w:val="CommentTextChar"/>
    <w:link w:val="CommentSubject"/>
    <w:uiPriority w:val="99"/>
    <w:semiHidden/>
    <w:rsid w:val="007720AF"/>
    <w:rPr>
      <w:b/>
      <w:bCs/>
    </w:rPr>
  </w:style>
  <w:style w:type="paragraph" w:styleId="Header">
    <w:name w:val="header"/>
    <w:basedOn w:val="Normal"/>
    <w:link w:val="HeaderChar"/>
    <w:uiPriority w:val="99"/>
    <w:semiHidden/>
    <w:unhideWhenUsed/>
    <w:rsid w:val="00AC4E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4ED5"/>
  </w:style>
  <w:style w:type="paragraph" w:styleId="Footer">
    <w:name w:val="footer"/>
    <w:basedOn w:val="Normal"/>
    <w:link w:val="FooterChar"/>
    <w:uiPriority w:val="99"/>
    <w:unhideWhenUsed/>
    <w:rsid w:val="00AC4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ED5"/>
  </w:style>
  <w:style w:type="table" w:styleId="TableGrid">
    <w:name w:val="Table Grid"/>
    <w:basedOn w:val="TableNormal"/>
    <w:uiPriority w:val="59"/>
    <w:rsid w:val="00A80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D2747"/>
    <w:rPr>
      <w:rFonts w:asciiTheme="majorHAnsi" w:eastAsiaTheme="majorEastAsia" w:hAnsiTheme="majorHAnsi" w:cstheme="majorBidi"/>
      <w:b/>
      <w:bCs/>
      <w:color w:val="4F81BD" w:themeColor="accent1"/>
      <w:sz w:val="28"/>
      <w:szCs w:val="28"/>
    </w:rPr>
  </w:style>
  <w:style w:type="character" w:customStyle="1" w:styleId="Heading2Char">
    <w:name w:val="Heading 2 Char"/>
    <w:basedOn w:val="DefaultParagraphFont"/>
    <w:link w:val="Heading2"/>
    <w:uiPriority w:val="9"/>
    <w:rsid w:val="00804DFD"/>
    <w:rPr>
      <w:rFonts w:eastAsia="Times New Roman" w:cstheme="majorBidi"/>
      <w:b/>
      <w:bCs/>
      <w:color w:val="4F81BD" w:themeColor="accent1"/>
      <w:sz w:val="24"/>
      <w:lang w:eastAsia="en-GB"/>
    </w:rPr>
  </w:style>
  <w:style w:type="paragraph" w:styleId="NoSpacing">
    <w:name w:val="No Spacing"/>
    <w:uiPriority w:val="1"/>
    <w:qFormat/>
    <w:rsid w:val="00455DFA"/>
    <w:pPr>
      <w:spacing w:after="0" w:line="240" w:lineRule="auto"/>
    </w:pPr>
  </w:style>
  <w:style w:type="paragraph" w:styleId="FootnoteText">
    <w:name w:val="footnote text"/>
    <w:basedOn w:val="Normal"/>
    <w:link w:val="FootnoteTextChar"/>
    <w:uiPriority w:val="99"/>
    <w:semiHidden/>
    <w:unhideWhenUsed/>
    <w:rsid w:val="00455D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DFA"/>
    <w:rPr>
      <w:sz w:val="20"/>
      <w:szCs w:val="20"/>
    </w:rPr>
  </w:style>
  <w:style w:type="character" w:styleId="FootnoteReference">
    <w:name w:val="footnote reference"/>
    <w:basedOn w:val="DefaultParagraphFont"/>
    <w:uiPriority w:val="99"/>
    <w:semiHidden/>
    <w:unhideWhenUsed/>
    <w:rsid w:val="00455DFA"/>
    <w:rPr>
      <w:vertAlign w:val="superscript"/>
    </w:rPr>
  </w:style>
  <w:style w:type="paragraph" w:customStyle="1" w:styleId="Pa11">
    <w:name w:val="Pa1+1"/>
    <w:basedOn w:val="Default"/>
    <w:next w:val="Default"/>
    <w:uiPriority w:val="99"/>
    <w:rsid w:val="00D31762"/>
    <w:pPr>
      <w:spacing w:line="361" w:lineRule="atLeast"/>
    </w:pPr>
    <w:rPr>
      <w:rFonts w:ascii="Frutiger LT Std 45 Light" w:hAnsi="Frutiger LT Std 45 Light" w:cstheme="minorBidi"/>
      <w:color w:val="auto"/>
    </w:rPr>
  </w:style>
</w:styles>
</file>

<file path=word/webSettings.xml><?xml version="1.0" encoding="utf-8"?>
<w:webSettings xmlns:r="http://schemas.openxmlformats.org/officeDocument/2006/relationships" xmlns:w="http://schemas.openxmlformats.org/wordprocessingml/2006/main">
  <w:divs>
    <w:div w:id="162940488">
      <w:bodyDiv w:val="1"/>
      <w:marLeft w:val="0"/>
      <w:marRight w:val="0"/>
      <w:marTop w:val="0"/>
      <w:marBottom w:val="0"/>
      <w:divBdr>
        <w:top w:val="none" w:sz="0" w:space="0" w:color="auto"/>
        <w:left w:val="none" w:sz="0" w:space="0" w:color="auto"/>
        <w:bottom w:val="none" w:sz="0" w:space="0" w:color="auto"/>
        <w:right w:val="none" w:sz="0" w:space="0" w:color="auto"/>
      </w:divBdr>
    </w:div>
    <w:div w:id="636490047">
      <w:bodyDiv w:val="1"/>
      <w:marLeft w:val="0"/>
      <w:marRight w:val="0"/>
      <w:marTop w:val="0"/>
      <w:marBottom w:val="0"/>
      <w:divBdr>
        <w:top w:val="none" w:sz="0" w:space="0" w:color="auto"/>
        <w:left w:val="none" w:sz="0" w:space="0" w:color="auto"/>
        <w:bottom w:val="none" w:sz="0" w:space="0" w:color="auto"/>
        <w:right w:val="none" w:sz="0" w:space="0" w:color="auto"/>
      </w:divBdr>
    </w:div>
    <w:div w:id="966735430">
      <w:bodyDiv w:val="1"/>
      <w:marLeft w:val="0"/>
      <w:marRight w:val="0"/>
      <w:marTop w:val="0"/>
      <w:marBottom w:val="0"/>
      <w:divBdr>
        <w:top w:val="none" w:sz="0" w:space="0" w:color="auto"/>
        <w:left w:val="none" w:sz="0" w:space="0" w:color="auto"/>
        <w:bottom w:val="none" w:sz="0" w:space="0" w:color="auto"/>
        <w:right w:val="none" w:sz="0" w:space="0" w:color="auto"/>
      </w:divBdr>
    </w:div>
    <w:div w:id="972835212">
      <w:bodyDiv w:val="1"/>
      <w:marLeft w:val="0"/>
      <w:marRight w:val="0"/>
      <w:marTop w:val="0"/>
      <w:marBottom w:val="0"/>
      <w:divBdr>
        <w:top w:val="none" w:sz="0" w:space="0" w:color="auto"/>
        <w:left w:val="none" w:sz="0" w:space="0" w:color="auto"/>
        <w:bottom w:val="none" w:sz="0" w:space="0" w:color="auto"/>
        <w:right w:val="none" w:sz="0" w:space="0" w:color="auto"/>
      </w:divBdr>
    </w:div>
    <w:div w:id="1035354780">
      <w:bodyDiv w:val="1"/>
      <w:marLeft w:val="0"/>
      <w:marRight w:val="0"/>
      <w:marTop w:val="0"/>
      <w:marBottom w:val="0"/>
      <w:divBdr>
        <w:top w:val="none" w:sz="0" w:space="0" w:color="auto"/>
        <w:left w:val="none" w:sz="0" w:space="0" w:color="auto"/>
        <w:bottom w:val="none" w:sz="0" w:space="0" w:color="auto"/>
        <w:right w:val="none" w:sz="0" w:space="0" w:color="auto"/>
      </w:divBdr>
    </w:div>
    <w:div w:id="17472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http://www.bevancommission.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diabetes.org.uk/Upload/Wales/Website%20NEW/Diabetes%20In%20Wales/State%20of%20the%20Nation%20WALES%202015.pdf" TargetMode="External"/><Relationship Id="rId13" Type="http://schemas.openxmlformats.org/officeDocument/2006/relationships/hyperlink" Target="http://www.ncbi.nlm.nih.gov/pubmed/25812085" TargetMode="External"/><Relationship Id="rId3" Type="http://schemas.openxmlformats.org/officeDocument/2006/relationships/hyperlink" Target="http://www.community-links.org/uploads/documents/Triple_Dividend.pdf" TargetMode="External"/><Relationship Id="rId7" Type="http://schemas.openxmlformats.org/officeDocument/2006/relationships/hyperlink" Target="http://gov.wales/docs/dhss/publications/141121strokeen.pdf" TargetMode="External"/><Relationship Id="rId12" Type="http://schemas.openxmlformats.org/officeDocument/2006/relationships/hyperlink" Target="http://jech.bmj.com/content/56/2/119.full" TargetMode="External"/><Relationship Id="rId2" Type="http://schemas.openxmlformats.org/officeDocument/2006/relationships/hyperlink" Target="https://www.biglotteryfund.org.uk/-/media/Files/Research%20Documents/er_prevention_early_intervention.pdf" TargetMode="External"/><Relationship Id="rId16" Type="http://schemas.openxmlformats.org/officeDocument/2006/relationships/hyperlink" Target="http://www.community-links.org/uploads/documents/Triple_Dividend.pdf" TargetMode="External"/><Relationship Id="rId1" Type="http://schemas.openxmlformats.org/officeDocument/2006/relationships/hyperlink" Target="http://www.gov.scot/Resource/Doc/343337/0114216.pdf" TargetMode="External"/><Relationship Id="rId6" Type="http://schemas.openxmlformats.org/officeDocument/2006/relationships/hyperlink" Target="http://www.ons.gov.uk/ons/publications/re-reference-tables.html?edition=tcm%3A77-370345" TargetMode="External"/><Relationship Id="rId11" Type="http://schemas.openxmlformats.org/officeDocument/2006/relationships/hyperlink" Target="http://jech.bmj.com/search?author1=L+Rychetnik&amp;sortspec=date&amp;submit=Submit" TargetMode="External"/><Relationship Id="rId5" Type="http://schemas.openxmlformats.org/officeDocument/2006/relationships/hyperlink" Target="https://www.biglotteryfund.org.uk/-/media/Files/Research%20Documents/er_prevention_early_intervention.pdf" TargetMode="External"/><Relationship Id="rId15" Type="http://schemas.openxmlformats.org/officeDocument/2006/relationships/hyperlink" Target="http://www.nhs.uk/Conditions/Cancer-of-the-prostate/Pages/Prevention.aspx" TargetMode="External"/><Relationship Id="rId10" Type="http://schemas.openxmlformats.org/officeDocument/2006/relationships/hyperlink" Target="http://www.nice.org.uk/guidance/ph40/documents/social-and-emotional-wellbeing-early-years-expert-report-32" TargetMode="External"/><Relationship Id="rId4" Type="http://schemas.openxmlformats.org/officeDocument/2006/relationships/hyperlink" Target="http://www.eif.org.uk/what-is-ei/" TargetMode="External"/><Relationship Id="rId9" Type="http://schemas.openxmlformats.org/officeDocument/2006/relationships/hyperlink" Target="http://www.eyecare.wales.nhs.uk/drssw" TargetMode="External"/><Relationship Id="rId14" Type="http://schemas.openxmlformats.org/officeDocument/2006/relationships/hyperlink" Target="http://journals.plos.org/plosone/article?id=10.1371/journal.pone.0121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3CB8B-46B8-4C8E-B56B-B4A52C00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2367</Words>
  <Characters>13494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15830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Scowen</dc:creator>
  <cp:lastModifiedBy>Thomas Powell</cp:lastModifiedBy>
  <cp:revision>8</cp:revision>
  <cp:lastPrinted>2015-11-26T10:27:00Z</cp:lastPrinted>
  <dcterms:created xsi:type="dcterms:W3CDTF">2016-02-04T16:17:00Z</dcterms:created>
  <dcterms:modified xsi:type="dcterms:W3CDTF">2016-03-03T12:14:00Z</dcterms:modified>
</cp:coreProperties>
</file>